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4.png" ContentType="image/png"/>
  <Override PartName="/word/media/rId27.png" ContentType="image/png"/>
  <Override PartName="/word/media/rId41.png" ContentType="image/png"/>
  <Override PartName="/word/media/rId45.png" ContentType="image/png"/>
  <Override PartName="/word/media/rId49.png" ContentType="image/png"/>
  <Override PartName="/word/media/rId53.png" ContentType="image/png"/>
  <Override PartName="/word/media/rId57.png" ContentType="image/png"/>
  <Override PartName="/word/media/rId60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5.png" ContentType="image/png"/>
  <Override PartName="/word/media/rId78.png" ContentType="image/png"/>
  <Override PartName="/word/media/rId81.png" ContentType="image/png"/>
  <Override PartName="/word/media/rId85.png" ContentType="image/png"/>
  <Override PartName="/word/media/rId89.png" ContentType="image/png"/>
  <Override PartName="/word/media/rId93.png" ContentType="image/png"/>
  <Override PartName="/word/media/rId97.png" ContentType="image/png"/>
  <Override PartName="/word/media/rId100.png" ContentType="image/png"/>
  <Override PartName="/word/media/rId103.png" ContentType="image/png"/>
  <Override PartName="/word/media/rId106.png" ContentType="image/png"/>
  <Override PartName="/word/media/rId32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MMVSola</w:t>
      </w:r>
      <w:r>
        <w:t xml:space="preserve"> </w:t>
      </w:r>
      <w:r>
        <w:t xml:space="preserve">Predictor</w:t>
      </w:r>
      <w:r>
        <w:t xml:space="preserve"> </w:t>
      </w:r>
      <w:r>
        <w:t xml:space="preserve">-</w:t>
      </w:r>
      <w:r>
        <w:t xml:space="preserve"> </w:t>
      </w:r>
      <w:r>
        <w:t xml:space="preserve">User</w:t>
      </w:r>
      <w:r>
        <w:t xml:space="preserve"> </w:t>
      </w:r>
      <w:r>
        <w:t xml:space="preserve">Guide</w:t>
      </w:r>
    </w:p>
    <w:p>
      <w:pPr>
        <w:pStyle w:val="Author"/>
      </w:pPr>
      <w:r>
        <w:t xml:space="preserve">Venelin</w:t>
      </w:r>
      <w:r>
        <w:t xml:space="preserve"> </w:t>
      </w:r>
      <w:r>
        <w:t xml:space="preserve">Mitov,</w:t>
      </w:r>
      <w:r>
        <w:t xml:space="preserve"> </w:t>
      </w:r>
      <w:r>
        <w:t xml:space="preserve">Ghaith</w:t>
      </w:r>
      <w:r>
        <w:t xml:space="preserve"> </w:t>
      </w:r>
      <w:r>
        <w:t xml:space="preserve">Aljayyoussi,</w:t>
      </w:r>
      <w:r>
        <w:t xml:space="preserve"> </w:t>
      </w:r>
      <w:r>
        <w:t xml:space="preserve">Peter</w:t>
      </w:r>
      <w:r>
        <w:t xml:space="preserve"> </w:t>
      </w:r>
      <w:r>
        <w:t xml:space="preserve">Webborn,</w:t>
      </w:r>
      <w:r>
        <w:t xml:space="preserve"> </w:t>
      </w:r>
      <w:r>
        <w:t xml:space="preserve">Mohammed</w:t>
      </w:r>
      <w:r>
        <w:t xml:space="preserve"> </w:t>
      </w:r>
      <w:r>
        <w:t xml:space="preserve">H.</w:t>
      </w:r>
      <w:r>
        <w:t xml:space="preserve"> </w:t>
      </w:r>
      <w:r>
        <w:t xml:space="preserve">Cherkaoui,</w:t>
      </w:r>
      <w:r>
        <w:t xml:space="preserve"> </w:t>
      </w:r>
      <w:r>
        <w:t xml:space="preserve">Mark</w:t>
      </w:r>
      <w:r>
        <w:t xml:space="preserve"> </w:t>
      </w:r>
      <w:r>
        <w:t xml:space="preserve">Gardner,</w:t>
      </w:r>
      <w:r>
        <w:t xml:space="preserve"> </w:t>
      </w:r>
      <w:r>
        <w:t xml:space="preserve">Sam</w:t>
      </w:r>
      <w:r>
        <w:t xml:space="preserve"> </w:t>
      </w:r>
      <w:r>
        <w:t xml:space="preserve">Jones,</w:t>
      </w:r>
      <w:r>
        <w:t xml:space="preserve"> </w:t>
      </w:r>
      <w:r>
        <w:t xml:space="preserve">Nathalie</w:t>
      </w:r>
      <w:r>
        <w:t xml:space="preserve"> </w:t>
      </w:r>
      <w:r>
        <w:t xml:space="preserve">Gobeau,</w:t>
      </w:r>
      <w:r>
        <w:t xml:space="preserve"> </w:t>
      </w:r>
      <w:r>
        <w:t xml:space="preserve">Jeremy</w:t>
      </w:r>
      <w:r>
        <w:t xml:space="preserve"> </w:t>
      </w:r>
      <w:r>
        <w:t xml:space="preserve">Burrows,</w:t>
      </w:r>
      <w:r>
        <w:t xml:space="preserve"> </w:t>
      </w:r>
      <w:r>
        <w:t xml:space="preserve">Steven</w:t>
      </w:r>
      <w:r>
        <w:t xml:space="preserve"> </w:t>
      </w:r>
      <w:r>
        <w:t xml:space="preserve">Brand</w:t>
      </w:r>
    </w:p>
    <w:p>
      <w:pPr>
        <w:pStyle w:val="Date"/>
      </w:pPr>
      <w:r>
        <w:t xml:space="preserve">Version</w:t>
      </w:r>
      <w:r>
        <w:t xml:space="preserve"> </w:t>
      </w:r>
      <w:r>
        <w:t xml:space="preserve">1.11.15,</w:t>
      </w:r>
      <w:r>
        <w:t xml:space="preserve"> </w:t>
      </w:r>
      <w:r>
        <w:t xml:space="preserve">October</w:t>
      </w:r>
      <w:r>
        <w:t xml:space="preserve"> </w:t>
      </w:r>
      <w:r>
        <w:t xml:space="preserve">2026</w:t>
      </w:r>
    </w:p>
    <w:p>
      <w:pPr>
        <w:pStyle w:val="FirstParagraph"/>
      </w:pPr>
      <w:r>
        <w:t xml:space="preserve">© 2026 Medicines for Malaria Venture. All rights reserved.</w:t>
      </w:r>
    </w:p>
    <w:p>
      <w:pPr>
        <w:pStyle w:val="BodyText"/>
      </w:pPr>
      <w:r>
        <w:rPr>
          <w:iCs/>
          <w:i/>
        </w:rPr>
        <w:t xml:space="preserve">Suggested citation:</w:t>
      </w:r>
      <w:r>
        <w:t xml:space="preserve"> </w:t>
      </w:r>
      <w:r>
        <w:t xml:space="preserve">Venelin Mitov, Ghaith Aljayyoussi, Peter Webborn, Mohammed H. Cherkaoui, Mark Gardner, Sam Jones, Nathalie Gobeau, Jeremy Burrows, Steven Brand (2026). MMVSola Predictor - User Guide, version 1.11.15. Medicines for Malaria Venture.</w:t>
      </w:r>
      <w:r>
        <w:t xml:space="preserve"> </w:t>
      </w:r>
      <w:hyperlink r:id="rId20">
        <w:r>
          <w:rPr>
            <w:rStyle w:val="Hyperlink"/>
          </w:rPr>
          <w:t xml:space="preserve">https://mmvsola.org</w:t>
        </w:r>
      </w:hyperlink>
    </w:p>
    <w:bookmarkStart w:id="3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MMVSola Predictor is a web tool for pharmacokinetic (PK), pharmacodynamic (PD), and dose prediction</w:t>
      </w:r>
      <w:r>
        <w:t xml:space="preserve"> </w:t>
      </w:r>
      <w:r>
        <w:t xml:space="preserve">of malaria drug candidates. It estimates human PK/PD model parameters based on in vitro</w:t>
      </w:r>
      <w:r>
        <w:t xml:space="preserve"> </w:t>
      </w:r>
      <w:r>
        <w:t xml:space="preserve">and in vivo animal experimental data, and simulates PK/PD profiles to predict</w:t>
      </w:r>
      <w:r>
        <w:t xml:space="preserve"> </w:t>
      </w:r>
      <w:r>
        <w:t xml:space="preserve">minimal efficacious doses for oral and long-acting injectable (LAI) formulations. Human pharmacokinetics - clearance and volume of distribution -</w:t>
      </w:r>
      <w:r>
        <w:t xml:space="preserve"> </w:t>
      </w:r>
      <w:r>
        <w:t xml:space="preserve">are predicted from in vitro metabolism data via in vitro-to-in vivo</w:t>
      </w:r>
      <w:r>
        <w:t xml:space="preserve"> </w:t>
      </w:r>
      <w:r>
        <w:t xml:space="preserve">extrapolation (IVIVE) and/or from preclinical in vivo data via allometric</w:t>
      </w:r>
      <w:r>
        <w:t xml:space="preserve"> </w:t>
      </w:r>
      <w:r>
        <w:t xml:space="preserve">scaling (Section</w:t>
      </w:r>
      <w:r>
        <w:t xml:space="preserve"> </w:t>
      </w:r>
      <w:r>
        <w:t xml:space="preserve">2.2</w:t>
      </w:r>
      <w:r>
        <w:t xml:space="preserve">). Human pharmacodynamics -</w:t>
      </w:r>
      <w:r>
        <w:t xml:space="preserve"> </w:t>
      </w:r>
      <w:r>
        <w:t xml:space="preserve">the parasite-killing effect as a function of drug concentration - are predicted from in vitro</w:t>
      </w:r>
      <w:r>
        <w:t xml:space="preserve"> </w:t>
      </w:r>
      <w:r>
        <w:t xml:space="preserve">parasite reduction ratio (PRR) and growth-inhibition assay data, and/or from</w:t>
      </w:r>
      <w:r>
        <w:t xml:space="preserve"> </w:t>
      </w:r>
      <w:r>
        <w:t xml:space="preserve">SCID mouse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estimates (Section</w:t>
      </w:r>
      <w:r>
        <w:t xml:space="preserve"> </w:t>
      </w:r>
      <w:r>
        <w:t xml:space="preserve">2.3</w:t>
      </w:r>
      <w:r>
        <w:t xml:space="preserve">).</w:t>
      </w:r>
      <w:r>
        <w:t xml:space="preserve"> </w:t>
      </w:r>
      <w:r>
        <w:t xml:space="preserve">These PK and PD parameters drive a combined PK/PD simulation</w:t>
      </w:r>
      <w:r>
        <w:t xml:space="preserve"> </w:t>
      </w:r>
      <w:r>
        <w:t xml:space="preserve">(Section</w:t>
      </w:r>
      <w:r>
        <w:t xml:space="preserve"> </w:t>
      </w:r>
      <w:r>
        <w:t xml:space="preserve">2.1</w:t>
      </w:r>
      <w:r>
        <w:t xml:space="preserve">) from which the</w:t>
      </w:r>
      <w:r>
        <w:t xml:space="preserve"> </w:t>
      </w:r>
      <w:r>
        <w:t xml:space="preserve">efficacious dose is derived (Chapter</w:t>
      </w:r>
      <w:r>
        <w:t xml:space="preserve"> </w:t>
      </w:r>
      <w:r>
        <w:t xml:space="preserve">3</w:t>
      </w:r>
      <w:r>
        <w:t xml:space="preserve">).</w:t>
      </w:r>
    </w:p>
    <w:bookmarkStart w:id="30" w:name="input-prediction-report"/>
    <w:p>
      <w:pPr>
        <w:pStyle w:val="Heading2"/>
      </w:pPr>
      <w:r>
        <w:t xml:space="preserve">Input → Prediction → Report</w:t>
      </w:r>
    </w:p>
    <w:p>
      <w:pPr>
        <w:pStyle w:val="FirstParagraph"/>
      </w:pPr>
      <w:r>
        <w:t xml:space="preserve">MMVSola organizes its workflow into three steps, mirroring its three main</w:t>
      </w:r>
      <w:r>
        <w:t xml:space="preserve"> </w:t>
      </w:r>
      <w:r>
        <w:t xml:space="preserve">tabs: Input → Prediction → Report</w:t>
      </w:r>
    </w:p>
    <w:p>
      <w:pPr>
        <w:pStyle w:val="BodyText"/>
      </w:pPr>
      <w:r>
        <w:rPr>
          <w:bCs/>
          <w:b/>
        </w:rPr>
        <w:t xml:space="preserve">Input.</w:t>
      </w:r>
      <w:r>
        <w:t xml:space="preserve"> </w:t>
      </w:r>
      <w:r>
        <w:t xml:space="preserve">From the</w:t>
      </w:r>
      <w:r>
        <w:t xml:space="preserve"> </w:t>
      </w:r>
      <w:r>
        <w:rPr>
          <w:bCs/>
          <w:b/>
        </w:rPr>
        <w:t xml:space="preserve">File Input</w:t>
      </w:r>
      <w:r>
        <w:t xml:space="preserve"> </w:t>
      </w:r>
      <w:r>
        <w:t xml:space="preserve">tab, the user provides in vitro and animal</w:t>
      </w:r>
      <w:r>
        <w:t xml:space="preserve"> </w:t>
      </w:r>
      <w:r>
        <w:t xml:space="preserve">in vivo experimental parameters for one or more drug candidates (compounds), either by</w:t>
      </w:r>
      <w:r>
        <w:t xml:space="preserve"> </w:t>
      </w:r>
      <w:r>
        <w:t xml:space="preserve">uploading a ScienceCloud database extract or a previously generated MMVSola</w:t>
      </w:r>
      <w:r>
        <w:t xml:space="preserve"> </w:t>
      </w:r>
      <w:r>
        <w:t xml:space="preserve">Excel report. When data from multiple compounds have been uploaded, an Active compound</w:t>
      </w:r>
      <w:r>
        <w:t xml:space="preserve"> </w:t>
      </w:r>
      <w:r>
        <w:t xml:space="preserve">select input allows to select the compound for which data will be displayed. When ScienceCloud</w:t>
      </w:r>
      <w:r>
        <w:t xml:space="preserve"> </w:t>
      </w:r>
      <w:r>
        <w:t xml:space="preserve">data is available for the active compound, there can be several records for the same parameter (e.g. replicate assay</w:t>
      </w:r>
      <w:r>
        <w:t xml:space="preserve"> </w:t>
      </w:r>
      <w:r>
        <w:t xml:space="preserve">measurements). These multiple measurements are averaged into a single input value. The</w:t>
      </w:r>
      <w:r>
        <w:t xml:space="preserve"> </w:t>
      </w:r>
      <w:r>
        <w:t xml:space="preserve">user can review and exclude individual records from this averaging. Hovering</w:t>
      </w:r>
      <w:r>
        <w:t xml:space="preserve"> </w:t>
      </w:r>
      <w:r>
        <w:t xml:space="preserve">the mouse over the</w:t>
      </w:r>
      <w:r>
        <w:t xml:space="preserve"> </w:t>
      </w:r>
      <w:r>
        <w:rPr>
          <w:bCs/>
          <w:b/>
        </w:rPr>
        <w:t xml:space="preserve">Averaging</w:t>
      </w:r>
      <w:r>
        <w:t xml:space="preserve"> </w:t>
      </w:r>
      <w:r>
        <w:t xml:space="preserve">cell reveals the expression used to derive</w:t>
      </w:r>
      <w:r>
        <w:t xml:space="preserve"> </w:t>
      </w:r>
      <w:r>
        <w:t xml:space="preserve">the averaged value, in case it is too long to display in full.</w:t>
      </w:r>
    </w:p>
    <w:p>
      <w:pPr>
        <w:pStyle w:val="BodyText"/>
      </w:pPr>
      <w:r>
        <w:drawing>
          <wp:inline>
            <wp:extent cx="5334000" cy="247157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userguide_files/images/intro_01_input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15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Prediction.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Prediction</w:t>
      </w:r>
      <w:r>
        <w:t xml:space="preserve"> </w:t>
      </w:r>
      <w:r>
        <w:t xml:space="preserve">tab is a dashboard displaying, for the selected active compound, the validated input values - menu panel on the left and</w:t>
      </w:r>
      <w:r>
        <w:t xml:space="preserve"> </w:t>
      </w:r>
      <w:r>
        <w:t xml:space="preserve">predictions - main panel. Each input field is colour-coded by its source:</w:t>
      </w:r>
    </w:p>
    <w:p>
      <w:pPr>
        <w:numPr>
          <w:ilvl w:val="0"/>
          <w:numId w:val="1001"/>
        </w:numPr>
        <w:pStyle w:val="Compact"/>
      </w:pPr>
      <w:r>
        <w:t xml:space="preserve">azure: a default value calculated from</w:t>
      </w:r>
      <w:r>
        <w:t xml:space="preserve"> </w:t>
      </w:r>
      <w:r>
        <w:t xml:space="preserve">other available inputs or taken from the literature;</w:t>
      </w:r>
    </w:p>
    <w:p>
      <w:pPr>
        <w:numPr>
          <w:ilvl w:val="0"/>
          <w:numId w:val="1001"/>
        </w:numPr>
        <w:pStyle w:val="Compact"/>
      </w:pPr>
      <w:r>
        <w:t xml:space="preserve">gold: a compound-specific</w:t>
      </w:r>
      <w:r>
        <w:t xml:space="preserve"> </w:t>
      </w:r>
      <w:r>
        <w:t xml:space="preserve">average derived from the uploaded experimental data;</w:t>
      </w:r>
    </w:p>
    <w:p>
      <w:pPr>
        <w:numPr>
          <w:ilvl w:val="0"/>
          <w:numId w:val="1001"/>
        </w:numPr>
        <w:pStyle w:val="Compact"/>
      </w:pPr>
      <w:r>
        <w:t xml:space="preserve">white: a value entered (or</w:t>
      </w:r>
      <w:r>
        <w:t xml:space="preserve"> </w:t>
      </w:r>
      <w:r>
        <w:t xml:space="preserve">overwritten) manually by the user.</w:t>
      </w:r>
    </w:p>
    <w:p>
      <w:pPr>
        <w:pStyle w:val="FirstParagraph"/>
      </w:pPr>
      <w:r>
        <w:t xml:space="preserve">See Chapter</w:t>
      </w:r>
      <w:r>
        <w:t xml:space="preserve"> </w:t>
      </w:r>
      <w:r>
        <w:t xml:space="preserve">1</w:t>
      </w:r>
      <w:r>
        <w:t xml:space="preserve"> </w:t>
      </w:r>
      <w:r>
        <w:t xml:space="preserve">for a guided tour of the input menu, including how</w:t>
      </w:r>
      <w:r>
        <w:t xml:space="preserve"> </w:t>
      </w:r>
      <w:r>
        <w:t xml:space="preserve">MMVSola fills in missing values for you.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Oral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tabs summarize the predicted human PK/PD parameters, the</w:t>
      </w:r>
      <w:r>
        <w:t xml:space="preserve"> </w:t>
      </w:r>
      <w:r>
        <w:t xml:space="preserve">predicted doses, and the PK/PD profiles simulated at the predicted doses in a</w:t>
      </w:r>
      <w:r>
        <w:t xml:space="preserve"> </w:t>
      </w:r>
      <w:r>
        <w:t xml:space="preserve">typical patient. The user can interactively explore how changing any input parameter and/or</w:t>
      </w:r>
      <w:r>
        <w:t xml:space="preserve"> </w:t>
      </w:r>
      <w:r>
        <w:t xml:space="preserve">the simulated doses affects the predictions.</w:t>
      </w:r>
    </w:p>
    <w:p>
      <w:pPr>
        <w:pStyle w:val="BodyText"/>
      </w:pPr>
      <w:r>
        <w:drawing>
          <wp:inline>
            <wp:extent cx="5334000" cy="24938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userguide_files/images/intro_02_predi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38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Report.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tab lets the user customize and download a</w:t>
      </w:r>
      <w:r>
        <w:t xml:space="preserve"> </w:t>
      </w:r>
      <w:r>
        <w:t xml:space="preserve">multi-sheet Excel report documenting the inputs, the predicted PK/PD</w:t>
      </w:r>
      <w:r>
        <w:t xml:space="preserve"> </w:t>
      </w:r>
      <w:r>
        <w:t xml:space="preserve">parameters and doses, and (when several compounds have been loaded)</w:t>
      </w:r>
      <w:r>
        <w:t xml:space="preserve"> </w:t>
      </w:r>
      <w:r>
        <w:t xml:space="preserve">side-by-side comparison tables across candidate compounds. A previously</w:t>
      </w:r>
      <w:r>
        <w:t xml:space="preserve"> </w:t>
      </w:r>
      <w:r>
        <w:t xml:space="preserve">generated MMVSola report can itself be re-uploaded as an input file, which</w:t>
      </w:r>
      <w:r>
        <w:t xml:space="preserve"> </w:t>
      </w:r>
      <w:r>
        <w:t xml:space="preserve">makes it easy to pick up earlier work or to compile results from several</w:t>
      </w:r>
      <w:r>
        <w:t xml:space="preserve"> </w:t>
      </w:r>
      <w:r>
        <w:t xml:space="preserve">sessions. See Section</w:t>
      </w:r>
      <w:r>
        <w:t xml:space="preserve"> </w:t>
      </w:r>
      <w:r>
        <w:t xml:space="preserve">4</w:t>
      </w:r>
      <w:r>
        <w:t xml:space="preserve"> </w:t>
      </w:r>
      <w:r>
        <w:t xml:space="preserve">for details on what each report</w:t>
      </w:r>
      <w:r>
        <w:t xml:space="preserve"> </w:t>
      </w:r>
      <w:r>
        <w:t xml:space="preserve">sheet contains.</w:t>
      </w:r>
    </w:p>
    <w:p>
      <w:pPr>
        <w:pStyle w:val="BodyText"/>
      </w:pPr>
      <w:r>
        <w:drawing>
          <wp:inline>
            <wp:extent cx="5334000" cy="183980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userguide_files/images/intro_03_repor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39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user guide first walks you through a practical usage scenario</w:t>
      </w:r>
      <w:r>
        <w:t xml:space="preserve"> </w:t>
      </w:r>
      <w:r>
        <w:t xml:space="preserve">(Chapter</w:t>
      </w:r>
      <w:r>
        <w:t xml:space="preserve"> </w:t>
      </w:r>
      <w:r>
        <w:t xml:space="preserve">1</w:t>
      </w:r>
      <w:r>
        <w:t xml:space="preserve">), then describes the underlying methods - human</w:t>
      </w:r>
      <w:r>
        <w:t xml:space="preserve"> </w:t>
      </w:r>
      <w:r>
        <w:t xml:space="preserve">PK/PD parameter prediction (Chapter</w:t>
      </w:r>
      <w:r>
        <w:t xml:space="preserve"> </w:t>
      </w:r>
      <w:r>
        <w:t xml:space="preserve">2</w:t>
      </w:r>
      <w:r>
        <w:t xml:space="preserve">)</w:t>
      </w:r>
      <w:r>
        <w:t xml:space="preserve"> </w:t>
      </w:r>
      <w:r>
        <w:t xml:space="preserve">and dose prediction (Chapter</w:t>
      </w:r>
      <w:r>
        <w:t xml:space="preserve"> </w:t>
      </w:r>
      <w:r>
        <w:t xml:space="preserve">3</w:t>
      </w:r>
      <w:r>
        <w:t xml:space="preserve">) - and finally explains</w:t>
      </w:r>
      <w:r>
        <w:t xml:space="preserve"> </w:t>
      </w:r>
      <w:r>
        <w:t xml:space="preserve">how to make the most of the Report tab (Chapter</w:t>
      </w:r>
      <w:r>
        <w:t xml:space="preserve"> </w:t>
      </w:r>
      <w:r>
        <w:t xml:space="preserve">4</w:t>
      </w:r>
      <w:r>
        <w:t xml:space="preserve">) and</w:t>
      </w:r>
      <w:r>
        <w:t xml:space="preserve"> </w:t>
      </w:r>
      <w:r>
        <w:t xml:space="preserve">covers a few more advanced topics (Chapter</w:t>
      </w:r>
      <w:r>
        <w:t xml:space="preserve"> </w:t>
      </w:r>
      <w:r>
        <w:t xml:space="preserve">5</w:t>
      </w:r>
      <w:r>
        <w:t xml:space="preserve">).</w:t>
      </w:r>
    </w:p>
    <w:bookmarkEnd w:id="30"/>
    <w:bookmarkEnd w:id="31"/>
    <w:bookmarkStart w:id="110" w:name="quick-start"/>
    <w:p>
      <w:pPr>
        <w:pStyle w:val="Heading1"/>
      </w:pPr>
      <w:r>
        <w:rPr>
          <w:rStyle w:val="SectionNumber"/>
        </w:rPr>
        <w:t xml:space="preserve">1</w:t>
      </w:r>
      <w:r>
        <w:tab/>
      </w:r>
      <w:r>
        <w:t xml:space="preserve">Quick Start</w:t>
      </w:r>
    </w:p>
    <w:p>
      <w:pPr>
        <w:pStyle w:val="FirstParagraph"/>
      </w:pPr>
      <w:r>
        <w:t xml:space="preserve">This chapter is a step-by-step guide to getting your first PK/PD prediction</w:t>
      </w:r>
      <w:r>
        <w:t xml:space="preserve"> </w:t>
      </w:r>
      <w:r>
        <w:t xml:space="preserve">out of MMVSola. You will: name your</w:t>
      </w:r>
      <w:r>
        <w:t xml:space="preserve"> </w:t>
      </w:r>
      <w:r>
        <w:t xml:space="preserve">compound, fill in what you know, let MMVSola fill in the rest, and read off</w:t>
      </w:r>
      <w:r>
        <w:t xml:space="preserve"> </w:t>
      </w:r>
      <w:r>
        <w:t xml:space="preserve">the result.</w:t>
      </w:r>
    </w:p>
    <w:p>
      <w:pPr>
        <w:pStyle w:val="BodyText"/>
      </w:pPr>
      <w:r>
        <w:rPr>
          <w:bCs/>
          <w:b/>
        </w:rPr>
        <w:t xml:space="preserve">A few tips before you start: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Screenshots appear blurred?</w:t>
      </w:r>
      <w:r>
        <w:t xml:space="preserve"> </w:t>
      </w:r>
      <w:r>
        <w:t xml:space="preserve">Right-click any screenshot and choose</w:t>
      </w:r>
      <w:r>
        <w:t xml:space="preserve"> </w:t>
      </w:r>
      <w:r>
        <w:rPr>
          <w:iCs/>
          <w:i/>
        </w:rPr>
        <w:t xml:space="preserve">Open image in new tab</w:t>
      </w:r>
      <w:r>
        <w:t xml:space="preserve"> </w:t>
      </w:r>
      <w:r>
        <w:t xml:space="preserve">(or equivalent in your browser) to view it at full</w:t>
      </w:r>
      <w:r>
        <w:t xml:space="preserve"> </w:t>
      </w:r>
      <w:r>
        <w:t xml:space="preserve">resolution.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a large screen.</w:t>
      </w:r>
      <w:r>
        <w:t xml:space="preserve"> </w:t>
      </w:r>
      <w:r>
        <w:t xml:space="preserve">MMVSola is designed for a wide layout. On a</w:t>
      </w:r>
      <w:r>
        <w:t xml:space="preserve"> </w:t>
      </w:r>
      <w:r>
        <w:t xml:space="preserve">smaller screen the panels may overlap or be cut off. If that happens, zoom</w:t>
      </w:r>
      <w:r>
        <w:t xml:space="preserve"> </w:t>
      </w:r>
      <w:r>
        <w:t xml:space="preserve">your browser window out: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Chrome / Edge / Opera:</w:t>
      </w:r>
      <w:r>
        <w:t xml:space="preserve"> </w:t>
      </w:r>
      <w:r>
        <w:rPr>
          <w:rStyle w:val="VerbatimChar"/>
        </w:rPr>
        <w:t xml:space="preserve">Ctrl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(Windows/Linux) or</w:t>
      </w:r>
      <w:r>
        <w:t xml:space="preserve"> </w:t>
      </w:r>
      <w:r>
        <w:rPr>
          <w:rStyle w:val="VerbatimChar"/>
        </w:rPr>
        <w:t xml:space="preserve">Cmd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(Mac); or click the three-dot menu →</w:t>
      </w:r>
      <w:r>
        <w:t xml:space="preserve"> </w:t>
      </w:r>
      <w:r>
        <w:rPr>
          <w:bCs/>
          <w:b/>
        </w:rPr>
        <w:t xml:space="preserve">Zoom</w:t>
      </w:r>
      <w:r>
        <w:t xml:space="preserve">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Firefox:</w:t>
      </w:r>
      <w:r>
        <w:t xml:space="preserve"> </w:t>
      </w:r>
      <w:r>
        <w:rPr>
          <w:rStyle w:val="VerbatimChar"/>
        </w:rPr>
        <w:t xml:space="preserve">Ctrl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Cmd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-</w:t>
      </w:r>
      <w:r>
        <w:t xml:space="preserve">; or the three-line menu →</w:t>
      </w:r>
      <w:r>
        <w:t xml:space="preserve"> </w:t>
      </w:r>
      <w:r>
        <w:rPr>
          <w:bCs/>
          <w:b/>
        </w:rPr>
        <w:t xml:space="preserve">Zoom</w:t>
      </w:r>
      <w:r>
        <w:t xml:space="preserve">.</w:t>
      </w:r>
    </w:p>
    <w:p>
      <w:pPr>
        <w:numPr>
          <w:ilvl w:val="1"/>
          <w:numId w:val="1003"/>
        </w:numPr>
        <w:pStyle w:val="Compact"/>
      </w:pPr>
      <w:r>
        <w:rPr>
          <w:bCs/>
          <w:b/>
        </w:rPr>
        <w:t xml:space="preserve">Safari:</w:t>
      </w:r>
      <w:r>
        <w:t xml:space="preserve"> </w:t>
      </w:r>
      <w:r>
        <w:rPr>
          <w:rStyle w:val="VerbatimChar"/>
        </w:rPr>
        <w:t xml:space="preserve">Cmd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-</w:t>
      </w:r>
      <w:r>
        <w:t xml:space="preserve">; or the</w:t>
      </w:r>
      <w:r>
        <w:t xml:space="preserve"> </w:t>
      </w:r>
      <w:r>
        <w:rPr>
          <w:bCs/>
          <w:b/>
        </w:rPr>
        <w:t xml:space="preserve">View</w:t>
      </w:r>
      <w:r>
        <w:t xml:space="preserve"> </w:t>
      </w:r>
      <w:r>
        <w:t xml:space="preserve">menu →</w:t>
      </w:r>
      <w:r>
        <w:t xml:space="preserve"> </w:t>
      </w:r>
      <w:r>
        <w:rPr>
          <w:bCs/>
          <w:b/>
        </w:rPr>
        <w:t xml:space="preserve">Zoom Out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Help icons.</w:t>
      </w:r>
      <w:r>
        <w:t xml:space="preserve"> </w:t>
      </w:r>
      <w:r>
        <w:t xml:space="preserve">Blue circles with a question mark (ⓘ) appear</w:t>
      </w:r>
      <w:r>
        <w:t xml:space="preserve"> </w:t>
      </w:r>
      <w:r>
        <w:t xml:space="preserve">throughout the MMVSola interface. Hovering the mouse pointer over one</w:t>
      </w:r>
      <w:r>
        <w:t xml:space="preserve"> </w:t>
      </w:r>
      <w:r>
        <w:t xml:space="preserve">opens a help message explaining the corresponding input or panel.</w:t>
      </w:r>
    </w:p>
    <w:bookmarkStart w:id="40" w:name="Xb8cb884356a1fc5b421d25ab43c0137534f14bd"/>
    <w:p>
      <w:pPr>
        <w:pStyle w:val="Heading2"/>
      </w:pPr>
      <w:r>
        <w:t xml:space="preserve">Before you start: export the data from Science Cloud</w:t>
      </w:r>
    </w:p>
    <w:p>
      <w:pPr>
        <w:pStyle w:val="FirstParagraph"/>
      </w:pPr>
      <w:r>
        <w:t xml:space="preserve">If your compound is in Science Cloud, you can load its data instead of typing it in. Select your</w:t>
      </w:r>
      <w:r>
        <w:t xml:space="preserve"> </w:t>
      </w:r>
      <w:r>
        <w:t xml:space="preserve">compounds and batches in Science Cloud, click</w:t>
      </w:r>
      <w:r>
        <w:t xml:space="preserve"> </w:t>
      </w:r>
      <w:r>
        <w:rPr>
          <w:bCs/>
          <w:b/>
        </w:rPr>
        <w:t xml:space="preserve">Export</w:t>
      </w:r>
      <w:r>
        <w:t xml:space="preserve"> </w:t>
      </w:r>
      <w:r>
        <w:t xml:space="preserve">above the results table</w:t>
      </w:r>
      <w:r>
        <w:t xml:space="preserve"> </w:t>
      </w:r>
      <w:r>
        <w:t xml:space="preserve">(Figure</w:t>
      </w:r>
      <w:r>
        <w:t xml:space="preserve"> </w:t>
      </w:r>
      <w:r>
        <w:t xml:space="preserve">1.1</w:t>
      </w:r>
      <w:r>
        <w:t xml:space="preserve">), choose</w:t>
      </w:r>
      <w:r>
        <w:t xml:space="preserve"> </w:t>
      </w:r>
      <w:r>
        <w:rPr>
          <w:bCs/>
          <w:b/>
        </w:rPr>
        <w:t xml:space="preserve">RD-00-0000 - GENERIC MMVSOLA EXTRACTION</w:t>
      </w:r>
      <w:r>
        <w:t xml:space="preserve"> </w:t>
      </w:r>
      <w:r>
        <w:t xml:space="preserve">on the</w:t>
      </w:r>
      <w:r>
        <w:t xml:space="preserve"> </w:t>
      </w:r>
      <w:r>
        <w:rPr>
          <w:iCs/>
          <w:i/>
        </w:rPr>
        <w:t xml:space="preserve">Standard</w:t>
      </w:r>
      <w:r>
        <w:t xml:space="preserve"> </w:t>
      </w:r>
      <w:r>
        <w:t xml:space="preserve">tab and click</w:t>
      </w:r>
      <w:r>
        <w:t xml:space="preserve"> </w:t>
      </w:r>
      <w:r>
        <w:rPr>
          <w:bCs/>
          <w:b/>
        </w:rPr>
        <w:t xml:space="preserve">Export</w:t>
      </w:r>
      <w:r>
        <w:t xml:space="preserve"> </w:t>
      </w:r>
      <w:r>
        <w:t xml:space="preserve">again (Figure</w:t>
      </w:r>
      <w:r>
        <w:t xml:space="preserve"> </w:t>
      </w:r>
      <w:r>
        <w:t xml:space="preserve">1.2</w:t>
      </w:r>
      <w:r>
        <w:t xml:space="preserve">). The Excel file</w:t>
      </w:r>
      <w:r>
        <w:t xml:space="preserve"> </w:t>
      </w:r>
      <w:r>
        <w:t xml:space="preserve">this produces can be uploaded on the</w:t>
      </w:r>
      <w:r>
        <w:t xml:space="preserve"> </w:t>
      </w:r>
      <w:r>
        <w:rPr>
          <w:bCs/>
          <w:b/>
        </w:rPr>
        <w:t xml:space="preserve">File Input</w:t>
      </w:r>
      <w:r>
        <w:t xml:space="preserve"> </w:t>
      </w:r>
      <w:r>
        <w:t xml:space="preserve">tab.</w:t>
      </w:r>
    </w:p>
    <w:p>
      <w:pPr>
        <w:pStyle w:val="CaptionedFigure"/>
      </w:pPr>
      <w:r>
        <w:drawing>
          <wp:inline>
            <wp:extent cx="5334000" cy="415251"/>
            <wp:effectExtent b="0" l="0" r="0" t="0"/>
            <wp:docPr descr="Figure 1.1: The Export button in the Science Cloud search results" title="" id="33" name="Picture"/>
            <a:graphic>
              <a:graphicData uri="http://schemas.openxmlformats.org/drawingml/2006/picture">
                <pic:pic>
                  <pic:nvPicPr>
                    <pic:cNvPr descr="userguide_files/images/sc_01_export_button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35" w:name="fig:qs-sc-export-button"/>
      <w:bookmarkEnd w:id="35"/>
      <w:r>
        <w:t xml:space="preserve">Figure 1.1: The Export button in the Science Cloud search results</w:t>
      </w:r>
    </w:p>
    <w:p>
      <w:pPr>
        <w:pStyle w:val="CaptionedFigure"/>
      </w:pPr>
      <w:r>
        <w:drawing>
          <wp:inline>
            <wp:extent cx="4267200" cy="2400300"/>
            <wp:effectExtent b="0" l="0" r="0" t="0"/>
            <wp:docPr descr="Figure 1.2: The Science Cloud export dialog with the extraction to select highlighted" title="" id="37" name="Picture"/>
            <a:graphic>
              <a:graphicData uri="http://schemas.openxmlformats.org/drawingml/2006/picture">
                <pic:pic>
                  <pic:nvPicPr>
                    <pic:cNvPr descr="userguide_files/images/sc_02_export_dialo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bookmarkStart w:id="39" w:name="fig:qs-sc-export-dialog"/>
      <w:bookmarkEnd w:id="39"/>
      <w:r>
        <w:t xml:space="preserve">Figure 1.2: The Science Cloud export dialog with the extraction to select highlighted</w:t>
      </w:r>
    </w:p>
    <w:bookmarkEnd w:id="40"/>
    <w:bookmarkStart w:id="44" w:name="Xd8f316ade83542349873614435dda4432ff6a0a"/>
    <w:p>
      <w:pPr>
        <w:pStyle w:val="Heading2"/>
      </w:pPr>
      <w:r>
        <w:t xml:space="preserve">Step 1: Name your compound and open an input group</w:t>
      </w:r>
    </w:p>
    <w:p>
      <w:pPr>
        <w:pStyle w:val="FirstParagraph"/>
      </w:pPr>
      <w:r>
        <w:t xml:space="preserve">After loading the app, enter a name in the</w:t>
      </w:r>
      <w:r>
        <w:t xml:space="preserve"> </w:t>
      </w:r>
      <w:r>
        <w:rPr>
          <w:bCs/>
          <w:b/>
        </w:rPr>
        <w:t xml:space="preserve">Compound</w:t>
      </w:r>
      <w:r>
        <w:t xml:space="preserve"> </w:t>
      </w:r>
      <w:r>
        <w:t xml:space="preserve">field (or keep the</w:t>
      </w:r>
      <w:r>
        <w:t xml:space="preserve"> </w:t>
      </w:r>
      <w:r>
        <w:t xml:space="preserve">default</w:t>
      </w:r>
      <w:r>
        <w:t xml:space="preserve"> </w:t>
      </w:r>
      <w:r>
        <w:rPr>
          <w:rStyle w:val="VerbatimChar"/>
        </w:rPr>
        <w:t xml:space="preserve">MMVSola</w:t>
      </w:r>
      <w:r>
        <w:t xml:space="preserve">). Below it is a list of collapsible input groups -</w:t>
      </w:r>
      <w:r>
        <w:t xml:space="preserve"> </w:t>
      </w:r>
      <w:r>
        <w:rPr>
          <w:bCs/>
          <w:b/>
        </w:rPr>
        <w:t xml:space="preserve">Simulation parameters</w:t>
      </w:r>
      <w:r>
        <w:t xml:space="preserve">,</w:t>
      </w:r>
      <w:r>
        <w:t xml:space="preserve"> </w:t>
      </w:r>
      <w:r>
        <w:rPr>
          <w:bCs/>
          <w:b/>
        </w:rPr>
        <w:t xml:space="preserve">Chemical properties</w:t>
      </w:r>
      <w:r>
        <w:t xml:space="preserve">,</w:t>
      </w:r>
      <w:r>
        <w:t xml:space="preserve"> </w:t>
      </w:r>
      <w:r>
        <w:rPr>
          <w:bCs/>
          <w:b/>
        </w:rPr>
        <w:t xml:space="preserve">PK in vivo</w:t>
      </w:r>
      <w:r>
        <w:t xml:space="preserve">,</w:t>
      </w:r>
      <w:r>
        <w:t xml:space="preserve"> </w:t>
      </w:r>
      <w:r>
        <w:rPr>
          <w:bCs/>
          <w:b/>
        </w:rPr>
        <w:t xml:space="preserve">PK in heps</w:t>
      </w:r>
      <w:r>
        <w:t xml:space="preserve">,</w:t>
      </w:r>
      <w:r>
        <w:t xml:space="preserve"> </w:t>
      </w:r>
      <w:r>
        <w:rPr>
          <w:bCs/>
          <w:b/>
        </w:rPr>
        <w:t xml:space="preserve">PK in mics</w:t>
      </w:r>
      <w:r>
        <w:t xml:space="preserve">,</w:t>
      </w:r>
      <w:r>
        <w:t xml:space="preserve"> </w:t>
      </w:r>
      <w:r>
        <w:rPr>
          <w:bCs/>
          <w:b/>
        </w:rPr>
        <w:t xml:space="preserve">PD in vitro</w:t>
      </w:r>
      <w:r>
        <w:t xml:space="preserve">,</w:t>
      </w:r>
      <w:r>
        <w:t xml:space="preserve"> </w:t>
      </w:r>
      <w:r>
        <w:rPr>
          <w:bCs/>
          <w:b/>
        </w:rPr>
        <w:t xml:space="preserve">PD in SCID</w:t>
      </w:r>
      <w:r>
        <w:t xml:space="preserve">, and</w:t>
      </w:r>
      <w:r>
        <w:t xml:space="preserve"> </w:t>
      </w:r>
      <w:r>
        <w:rPr>
          <w:bCs/>
          <w:b/>
        </w:rPr>
        <w:t xml:space="preserve">Prediction details</w:t>
      </w:r>
      <w:r>
        <w:t xml:space="preserve">. Click on an input group title to expand it and reveal</w:t>
      </w:r>
      <w:r>
        <w:t xml:space="preserve"> </w:t>
      </w:r>
      <w:r>
        <w:t xml:space="preserve">its input fields.</w:t>
      </w:r>
    </w:p>
    <w:p>
      <w:pPr>
        <w:pStyle w:val="BodyText"/>
      </w:pPr>
      <w:r>
        <w:drawing>
          <wp:inline>
            <wp:extent cx="2133600" cy="217784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userguide_files/images/qs_01_input_categori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778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Start w:id="48" w:name="step-2-simulation-parameters"/>
    <w:p>
      <w:pPr>
        <w:pStyle w:val="Heading2"/>
      </w:pPr>
      <w:r>
        <w:t xml:space="preserve">Step 2: Simulation parameters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Simulation parameters</w:t>
      </w:r>
      <w:r>
        <w:t xml:space="preserve"> </w:t>
      </w:r>
      <w:r>
        <w:t xml:space="preserve">to set the dosing regimen and absorption</w:t>
      </w:r>
      <w:r>
        <w:t xml:space="preserve"> </w:t>
      </w:r>
      <w:r>
        <w:t xml:space="preserve">inputs for the Oral and LAI (long-acting injectable) routes: fraction</w:t>
      </w:r>
      <w:r>
        <w:t xml:space="preserve"> </w:t>
      </w:r>
      <w:r>
        <w:t xml:space="preserve">absorbed, absorption rate constant (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), number of doses, and dosing</w:t>
      </w:r>
      <w:r>
        <w:t xml:space="preserve"> </w:t>
      </w:r>
      <w:r>
        <w:t xml:space="preserve">interval. MMVSola pre-fills these with sensible defaults (shown on an azure</w:t>
      </w:r>
      <w:r>
        <w:t xml:space="preserve"> </w:t>
      </w:r>
      <w:r>
        <w:t xml:space="preserve">background) that you can overwrite at any time.</w:t>
      </w:r>
    </w:p>
    <w:p>
      <w:pPr>
        <w:pStyle w:val="BodyText"/>
      </w:pPr>
      <w:r>
        <w:drawing>
          <wp:inline>
            <wp:extent cx="2133600" cy="1463499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userguide_files/images/qs_02_simulation_parameters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63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Start w:id="52" w:name="step-3-chemical-properties"/>
    <w:p>
      <w:pPr>
        <w:pStyle w:val="Heading2"/>
      </w:pPr>
      <w:r>
        <w:t xml:space="preserve">Step 3: Chemical properties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Chemical properties</w:t>
      </w:r>
      <w:r>
        <w:t xml:space="preserve"> </w:t>
      </w:r>
      <w:r>
        <w:t xml:space="preserve">and enter the compound’s charge state, LogD</w:t>
      </w:r>
      <w:r>
        <w:t xml:space="preserve"> </w:t>
      </w:r>
      <w:r>
        <w:t xml:space="preserve">(measured or calculated), and molecular weight. These values feed into</w:t>
      </w:r>
      <w:r>
        <w:t xml:space="preserve"> </w:t>
      </w:r>
      <w:r>
        <w:t xml:space="preserve">several of the predictions described in the</w:t>
      </w:r>
      <w:r>
        <w:t xml:space="preserve"> </w:t>
      </w:r>
      <w:r>
        <w:t xml:space="preserve">2</w:t>
      </w:r>
      <w:r>
        <w:t xml:space="preserve"> </w:t>
      </w:r>
      <w:r>
        <w:t xml:space="preserve">chapter, for example the conversion</w:t>
      </w:r>
      <w:r>
        <w:t xml:space="preserve"> </w:t>
      </w:r>
      <w:r>
        <w:t xml:space="preserve">of in vitro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values from nM to µg/mL.</w:t>
      </w:r>
    </w:p>
    <w:p>
      <w:pPr>
        <w:pStyle w:val="BodyText"/>
      </w:pPr>
      <w:r>
        <w:drawing>
          <wp:inline>
            <wp:extent cx="2133600" cy="1217604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userguide_files/images/qs_03_chemical_properties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176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2"/>
    <w:bookmarkStart w:id="56" w:name="step-4-pk-in-vivo"/>
    <w:p>
      <w:pPr>
        <w:pStyle w:val="Heading2"/>
      </w:pPr>
      <w:r>
        <w:t xml:space="preserve">Step 4: PK in vivo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PK in vivo</w:t>
      </w:r>
      <w:r>
        <w:t xml:space="preserve"> </w:t>
      </w:r>
      <w:r>
        <w:t xml:space="preserve">to choose the</w:t>
      </w:r>
      <w:r>
        <w:t xml:space="preserve"> </w:t>
      </w:r>
      <w:r>
        <w:rPr>
          <w:bCs/>
          <w:b/>
        </w:rPr>
        <w:t xml:space="preserve">clearance prediction method</w:t>
      </w:r>
      <w:r>
        <w:t xml:space="preserve"> </w:t>
      </w:r>
      <w:r>
        <w:t xml:space="preserve">(IVIVE,</w:t>
      </w:r>
      <w:r>
        <w:t xml:space="preserve"> </w:t>
      </w:r>
      <w:r>
        <w:t xml:space="preserve">Allometry, or IVIVE + Allometry, see Section</w:t>
      </w:r>
      <w:r>
        <w:t xml:space="preserve"> </w:t>
      </w:r>
      <w:r>
        <w:t xml:space="preserve">2.2.3</w:t>
      </w:r>
      <w:r>
        <w:t xml:space="preserve">) and enter</w:t>
      </w:r>
      <w:r>
        <w:t xml:space="preserve"> </w:t>
      </w:r>
      <w:r>
        <w:t xml:space="preserve">plasma binding, blood-to-plasma ratio, plasma clearance, plasma volume of</w:t>
      </w:r>
      <w:r>
        <w:t xml:space="preserve"> </w:t>
      </w:r>
      <w:r>
        <w:t xml:space="preserve">distribution (V</w:t>
      </w:r>
      <w:r>
        <w:rPr>
          <w:vertAlign w:val="subscript"/>
        </w:rPr>
        <w:t xml:space="preserve">ss</w:t>
      </w:r>
      <w:r>
        <w:t xml:space="preserve">), and renal plasma clearance for human (H), rat (R),</w:t>
      </w:r>
      <w:r>
        <w:t xml:space="preserve"> </w:t>
      </w:r>
      <w:r>
        <w:t xml:space="preserve">mouse (M), and dog (D), as available. Unlike the other columns, human (H)</w:t>
      </w:r>
      <w:r>
        <w:t xml:space="preserve"> </w:t>
      </w:r>
      <w:r>
        <w:t xml:space="preserve">Plasma CL and Plasma Vss have no ScienceCloud filter, since they can only be</w:t>
      </w:r>
      <w:r>
        <w:t xml:space="preserve"> </w:t>
      </w:r>
      <w:r>
        <w:t xml:space="preserve">calculated from other inputs or entered manually - if you have a known human</w:t>
      </w:r>
      <w:r>
        <w:t xml:space="preserve"> </w:t>
      </w:r>
      <w:r>
        <w:t xml:space="preserve">value (e.g. from clinical PK data), enter it directly here and it overrides</w:t>
      </w:r>
      <w:r>
        <w:t xml:space="preserve"> </w:t>
      </w:r>
      <w:r>
        <w:t xml:space="preserve">the predicted value everywhere downstream, exactly like any other manual</w:t>
      </w:r>
      <w:r>
        <w:t xml:space="preserve"> </w:t>
      </w:r>
      <w:r>
        <w:t xml:space="preserve">entry.</w:t>
      </w:r>
    </w:p>
    <w:p>
      <w:pPr>
        <w:pStyle w:val="BodyText"/>
      </w:pPr>
      <w:r>
        <w:drawing>
          <wp:inline>
            <wp:extent cx="2133600" cy="377483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userguide_files/images/qs_04_pk_in_vivo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3774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63" w:name="step-5-pk-in-heps-and-pk-in-mics"/>
    <w:p>
      <w:pPr>
        <w:pStyle w:val="Heading2"/>
      </w:pPr>
      <w:r>
        <w:t xml:space="preserve">Step 5: PK in heps and PK in mics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PK in heps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PK in mics</w:t>
      </w:r>
      <w:r>
        <w:t xml:space="preserve"> </w:t>
      </w:r>
      <w:r>
        <w:t xml:space="preserve">to enter the in vitro metabolism data</w:t>
      </w:r>
      <w:r>
        <w:t xml:space="preserve"> </w:t>
      </w:r>
      <w:r>
        <w:t xml:space="preserve">that drive the IVIVE clearance prediction: intrinsic clearance (CL</w:t>
      </w:r>
      <w:r>
        <w:rPr>
          <w:vertAlign w:val="subscript"/>
        </w:rPr>
        <w:t xml:space="preserve">int</w:t>
      </w:r>
      <w:r>
        <w:t xml:space="preserve">),</w:t>
      </w:r>
      <w:r>
        <w:t xml:space="preserve"> </w:t>
      </w:r>
      <w:r>
        <w:t xml:space="preserve">the unbound fraction measured in the assay, the assay scaling factor</w:t>
      </w:r>
      <w:r>
        <w:t xml:space="preserve"> </w:t>
      </w:r>
      <w:r>
        <w:t xml:space="preserve">(10</w:t>
      </w:r>
      <w:r>
        <w:rPr>
          <w:vertAlign w:val="superscript"/>
        </w:rPr>
        <w:t xml:space="preserve">6</w:t>
      </w:r>
      <w:r>
        <w:t xml:space="preserve"> </w:t>
      </w:r>
      <w:r>
        <w:t xml:space="preserve">cells/mL for hepatocytes, mg protein/mL for microsomes), and, if</w:t>
      </w:r>
      <w:r>
        <w:t xml:space="preserve"> </w:t>
      </w:r>
      <w:r>
        <w:t xml:space="preserve">available, regression correction parameters for a specific laboratory’s</w:t>
      </w:r>
      <w:r>
        <w:t xml:space="preserve"> </w:t>
      </w:r>
      <w:r>
        <w:t xml:space="preserve">assay (see Section</w:t>
      </w:r>
      <w:r>
        <w:t xml:space="preserve"> </w:t>
      </w:r>
      <w:r>
        <w:t xml:space="preserve">2.2.3</w:t>
      </w:r>
      <w:r>
        <w:t xml:space="preserve">, Step 3).</w:t>
      </w:r>
    </w:p>
    <w:p>
      <w:pPr>
        <w:pStyle w:val="BodyText"/>
      </w:pPr>
      <w:r>
        <w:drawing>
          <wp:inline>
            <wp:extent cx="2133600" cy="1891145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userguide_files/images/qs_05_pk_in_hep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91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133600" cy="1827264"/>
            <wp:effectExtent b="0" l="0" r="0" t="0"/>
            <wp:docPr descr="" title="" id="61" name="Picture"/>
            <a:graphic>
              <a:graphicData uri="http://schemas.openxmlformats.org/drawingml/2006/picture">
                <pic:pic>
                  <pic:nvPicPr>
                    <pic:cNvPr descr="userguide_files/images/qs_06_pk_in_mics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82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3"/>
    <w:bookmarkStart w:id="70" w:name="step-6-pd-in-vitro-and-pd-in-scid"/>
    <w:p>
      <w:pPr>
        <w:pStyle w:val="Heading2"/>
      </w:pPr>
      <w:r>
        <w:t xml:space="preserve">Step 6: PD in vitro and PD in SCID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PD in vitro</w:t>
      </w:r>
      <w:r>
        <w:t xml:space="preserve"> </w:t>
      </w:r>
      <w:r>
        <w:t xml:space="preserve">to enter the growth-inhibition assay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</w:t>
      </w:r>
      <w:r>
        <w:t xml:space="preserve"> </w:t>
      </w:r>
      <w:r>
        <w:t xml:space="preserve">slope, the in vitro parasite reduction ratio (PRR) and its lag time, and the</w:t>
      </w:r>
      <w:r>
        <w:t xml:space="preserve"> </w:t>
      </w:r>
      <w:r>
        <w:t xml:space="preserve">Albumax binding of the assay medium. For this walkthrough, enter</w:t>
      </w:r>
      <w:r>
        <w:t xml:space="preserve"> </w:t>
      </w:r>
      <w:r>
        <w:rPr>
          <w:bCs/>
          <w:b/>
        </w:rPr>
        <w:t xml:space="preserve">87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Albumax Binding [%]</w:t>
      </w:r>
      <w:r>
        <w:t xml:space="preserve">. Open</w:t>
      </w:r>
      <w:r>
        <w:t xml:space="preserve"> </w:t>
      </w:r>
      <w:r>
        <w:rPr>
          <w:bCs/>
          <w:b/>
        </w:rPr>
        <w:t xml:space="preserve">PD in SCID</w:t>
      </w:r>
      <w:r>
        <w:t xml:space="preserve"> </w:t>
      </w:r>
      <w:r>
        <w:t xml:space="preserve">to enter an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</w:t>
      </w:r>
      <w:r>
        <w:t xml:space="preserve"> </w:t>
      </w:r>
      <w:r>
        <w:t xml:space="preserve">slope measured directly in the SCID mouse model, if available. MMVSola uses</w:t>
      </w:r>
      <w:r>
        <w:t xml:space="preserve"> </w:t>
      </w:r>
      <w:r>
        <w:t xml:space="preserve">whichever of these two data sources you provide - or both - to predict the PD</w:t>
      </w:r>
      <w:r>
        <w:t xml:space="preserve"> </w:t>
      </w:r>
      <w:r>
        <w:t xml:space="preserve">parameters described in Section</w:t>
      </w:r>
      <w:r>
        <w:t xml:space="preserve"> </w:t>
      </w:r>
      <w:r>
        <w:t xml:space="preserve">2.3</w:t>
      </w:r>
      <w:r>
        <w:t xml:space="preserve">.</w:t>
      </w:r>
    </w:p>
    <w:p>
      <w:pPr>
        <w:pStyle w:val="BodyText"/>
      </w:pPr>
      <w:r>
        <w:drawing>
          <wp:inline>
            <wp:extent cx="2133600" cy="1265149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userguide_files/images/qs_07_pd_in_vitro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2651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133600" cy="8128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userguide_files/images/qs_08_pd_in_scid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0"/>
    <w:bookmarkStart w:id="74" w:name="step-7-prediction-details"/>
    <w:p>
      <w:pPr>
        <w:pStyle w:val="Heading2"/>
      </w:pPr>
      <w:r>
        <w:t xml:space="preserve">Step 7: Prediction details</w:t>
      </w:r>
    </w:p>
    <w:p>
      <w:pPr>
        <w:pStyle w:val="FirstParagraph"/>
      </w:pPr>
      <w:r>
        <w:t xml:space="preserve">Open</w:t>
      </w:r>
      <w:r>
        <w:t xml:space="preserve"> </w:t>
      </w:r>
      <w:r>
        <w:rPr>
          <w:bCs/>
          <w:b/>
        </w:rPr>
        <w:t xml:space="preserve">Prediction details</w:t>
      </w:r>
      <w:r>
        <w:t xml:space="preserve"> </w:t>
      </w:r>
      <w:r>
        <w:t xml:space="preserve">to set the maximum number of</w:t>
      </w:r>
      <w:r>
        <w:t xml:space="preserve"> </w:t>
      </w:r>
      <w:r>
        <w:t xml:space="preserve">“</w:t>
      </w:r>
      <w:r>
        <w:t xml:space="preserve">default value</w:t>
      </w:r>
      <w:r>
        <w:t xml:space="preserve"> </w:t>
      </w:r>
      <w:r>
        <w:t xml:space="preserve">generations</w:t>
      </w:r>
      <w:r>
        <w:t xml:space="preserve">”</w:t>
      </w:r>
      <w:r>
        <w:t xml:space="preserve"> </w:t>
      </w:r>
      <w:r>
        <w:t xml:space="preserve">(see Step 8 below) and to switch the result view between</w:t>
      </w:r>
      <w:r>
        <w:t xml:space="preserve"> </w:t>
      </w:r>
      <w:r>
        <w:rPr>
          <w:bCs/>
          <w:b/>
        </w:rPr>
        <w:t xml:space="preserve">Prediction Graph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Prediction Table</w:t>
      </w:r>
      <w:r>
        <w:t xml:space="preserve">.</w:t>
      </w:r>
    </w:p>
    <w:p>
      <w:pPr>
        <w:pStyle w:val="BodyText"/>
      </w:pPr>
      <w:r>
        <w:drawing>
          <wp:inline>
            <wp:extent cx="2133600" cy="828842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userguide_files/images/qs_09_prediction_details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28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bookmarkStart w:id="84" w:name="step-8-let-mmvsola-fill-in-the-gaps"/>
    <w:p>
      <w:pPr>
        <w:pStyle w:val="Heading2"/>
      </w:pPr>
      <w:r>
        <w:t xml:space="preserve">Step 8: Let MMVSola fill in the gaps</w:t>
      </w:r>
    </w:p>
    <w:p>
      <w:pPr>
        <w:pStyle w:val="FirstParagraph"/>
      </w:pPr>
      <w:r>
        <w:t xml:space="preserve">You do not need to fill in every field by hand. Whenever a value is missing,</w:t>
      </w:r>
      <w:r>
        <w:t xml:space="preserve"> </w:t>
      </w:r>
      <w:r>
        <w:t xml:space="preserve">MMVSola tries to predict it from the inputs you</w:t>
      </w:r>
      <w:r>
        <w:t xml:space="preserve"> </w:t>
      </w:r>
      <w:r>
        <w:rPr>
          <w:iCs/>
          <w:i/>
        </w:rPr>
        <w:t xml:space="preserve">have</w:t>
      </w:r>
      <w:r>
        <w:t xml:space="preserve"> </w:t>
      </w:r>
      <w:r>
        <w:t xml:space="preserve">provided, and shows</w:t>
      </w:r>
      <w:r>
        <w:t xml:space="preserve"> </w:t>
      </w:r>
      <w:r>
        <w:t xml:space="preserve">the result on an azure background. Hover over the blue</w:t>
      </w:r>
      <w:r>
        <w:t xml:space="preserve"> </w:t>
      </w:r>
      <w:r>
        <w:rPr>
          <w:bCs/>
          <w:b/>
        </w:rPr>
        <w:t xml:space="preserve">i</w:t>
      </w:r>
      <w:r>
        <w:t xml:space="preserve"> </w:t>
      </w:r>
      <w:r>
        <w:t xml:space="preserve">icon next to a</w:t>
      </w:r>
      <w:r>
        <w:t xml:space="preserve"> </w:t>
      </w:r>
      <w:r>
        <w:t xml:space="preserve">field to see where its value came from and whether it is in the valid range.</w:t>
      </w:r>
    </w:p>
    <w:p>
      <w:pPr>
        <w:pStyle w:val="BodyText"/>
      </w:pPr>
      <w:r>
        <w:t xml:space="preserve">For example, the</w:t>
      </w:r>
      <w:r>
        <w:t xml:space="preserve"> </w:t>
      </w:r>
      <w:r>
        <w:rPr>
          <w:bCs/>
          <w:b/>
        </w:rPr>
        <w:t xml:space="preserve">Albumax Binding [%]</w:t>
      </w:r>
      <w:r>
        <w:t xml:space="preserve"> </w:t>
      </w:r>
      <w:r>
        <w:t xml:space="preserve">entry of 87% entered in Step 6 is</w:t>
      </w:r>
      <w:r>
        <w:t xml:space="preserve"> </w:t>
      </w:r>
      <w:r>
        <w:t xml:space="preserve">converted to an unbound fraction fu</w:t>
      </w:r>
      <w:r>
        <w:rPr>
          <w:vertAlign w:val="subscript"/>
        </w:rPr>
        <w:t xml:space="preserve">ALBUMAX</w:t>
      </w:r>
      <w:r>
        <w:t xml:space="preserve"> </w:t>
      </w:r>
      <w:r>
        <w:t xml:space="preserve">= 0.13, which MMVSola then uses</w:t>
      </w:r>
      <w:r>
        <w:t xml:space="preserve"> </w:t>
      </w:r>
      <w:r>
        <w:t xml:space="preserve">as the starting point for predicting all other unbound fractions (see Section</w:t>
      </w:r>
      <w:r>
        <w:t xml:space="preserve"> </w:t>
      </w:r>
      <w:r>
        <w:t xml:space="preserve">5.2</w:t>
      </w:r>
      <w:r>
        <w:t xml:space="preserve">). The result for human</w:t>
      </w:r>
      <w:r>
        <w:t xml:space="preserve"> </w:t>
      </w:r>
      <w:r>
        <w:rPr>
          <w:bCs/>
          <w:b/>
        </w:rPr>
        <w:t xml:space="preserve">Plasma Binding</w:t>
      </w:r>
      <w:r>
        <w:rPr>
          <w:bCs/>
          <w:b/>
        </w:rPr>
        <w:t xml:space="preserve"> </w:t>
      </w:r>
      <w:r>
        <w:rPr>
          <w:bCs/>
          <w:b/>
        </w:rPr>
        <w:t xml:space="preserve">[%]</w:t>
      </w:r>
      <w:r>
        <w:t xml:space="preserve"> </w:t>
      </w:r>
      <w:r>
        <w:t xml:space="preserve">- predicted from fu</w:t>
      </w:r>
      <w:r>
        <w:rPr>
          <w:vertAlign w:val="subscript"/>
        </w:rPr>
        <w:t xml:space="preserve">ALBUMAX</w:t>
      </w:r>
      <w:r>
        <w:t xml:space="preserve"> </w:t>
      </w:r>
      <w:r>
        <w:t xml:space="preserve">- is shown on an azure background, and the</w:t>
      </w:r>
      <w:r>
        <w:t xml:space="preserve"> </w:t>
      </w:r>
      <w:r>
        <w:t xml:space="preserve">tooltip explains that the shown value (98.94%) was</w:t>
      </w:r>
      <w: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predicted from</w:t>
      </w:r>
      <w:r>
        <w:rPr>
          <w:iCs/>
          <w:i/>
        </w:rPr>
        <w:t xml:space="preserve"> </w:t>
      </w:r>
      <w:r>
        <w:rPr>
          <w:iCs/>
          <w:i/>
        </w:rPr>
        <w:t xml:space="preserve">fu_ALBUMAX</w:t>
      </w:r>
      <w:r>
        <w:rPr>
          <w:iCs/>
          <w:i/>
        </w:rPr>
        <w:t xml:space="preserve">”</w:t>
      </w:r>
      <w:r>
        <w:t xml:space="preserve">:</w:t>
      </w:r>
    </w:p>
    <w:p>
      <w:pPr>
        <w:pStyle w:val="BodyText"/>
      </w:pPr>
      <w:r>
        <w:drawing>
          <wp:inline>
            <wp:extent cx="2667000" cy="4896685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userguide_files/images/qs_10_plasma_binding_predicted_from_albumax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896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chaining of predictions can go several levels deep (the</w:t>
      </w:r>
      <w:r>
        <w:t xml:space="preserve"> </w:t>
      </w:r>
      <w:r>
        <w:rPr>
          <w:bCs/>
          <w:b/>
        </w:rPr>
        <w:t xml:space="preserve">Max Default</w:t>
      </w:r>
      <w:r>
        <w:rPr>
          <w:bCs/>
          <w:b/>
        </w:rPr>
        <w:t xml:space="preserve"> </w:t>
      </w:r>
      <w:r>
        <w:rPr>
          <w:bCs/>
          <w:b/>
        </w:rPr>
        <w:t xml:space="preserve">Value Generations</w:t>
      </w:r>
      <w:r>
        <w:t xml:space="preserve"> </w:t>
      </w:r>
      <w:r>
        <w:t xml:space="preserve">field from Step 7 limits how deep). The</w:t>
      </w:r>
      <w:r>
        <w:t xml:space="preserve"> </w:t>
      </w:r>
      <w:r>
        <w:rPr>
          <w:bCs/>
          <w:b/>
        </w:rPr>
        <w:t xml:space="preserve">Prediction</w:t>
      </w:r>
      <w:r>
        <w:rPr>
          <w:bCs/>
          <w:b/>
        </w:rPr>
        <w:t xml:space="preserve"> </w:t>
      </w:r>
      <w:r>
        <w:rPr>
          <w:bCs/>
          <w:b/>
        </w:rPr>
        <w:t xml:space="preserve">Graph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Prediction Table</w:t>
      </w:r>
      <w:r>
        <w:t xml:space="preserve"> </w:t>
      </w:r>
      <w:r>
        <w:t xml:space="preserve">buttons under</w:t>
      </w:r>
      <w:r>
        <w:t xml:space="preserve"> </w:t>
      </w:r>
      <w:r>
        <w:rPr>
          <w:bCs/>
          <w:b/>
        </w:rPr>
        <w:t xml:space="preserve">Prediction details</w:t>
      </w:r>
      <w:r>
        <w:t xml:space="preserve"> </w:t>
      </w:r>
      <w:r>
        <w:t xml:space="preserve">let you</w:t>
      </w:r>
      <w:r>
        <w:t xml:space="preserve"> </w:t>
      </w:r>
      <w:r>
        <w:t xml:space="preserve">inspect exactly which values were derived from which: the graph shows the</w:t>
      </w:r>
      <w:r>
        <w:t xml:space="preserve"> </w:t>
      </w:r>
      <w:r>
        <w:t xml:space="preserve">dependency chain (e.g. </w:t>
      </w:r>
      <w:r>
        <w:rPr>
          <w:rStyle w:val="VerbatimChar"/>
        </w:rPr>
        <w:t xml:space="preserve">fu_ALBUMAX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fu_HEP_*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fu_MIC_*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fu_PLASMA_*</w:t>
      </w:r>
      <w:r>
        <w:t xml:space="preserve">), and the table lists, for every derived parameter, the inputs</w:t>
      </w:r>
      <w:r>
        <w:t xml:space="preserve"> </w:t>
      </w:r>
      <w:r>
        <w:t xml:space="preserve">and the formula used to calculate it.</w:t>
      </w:r>
    </w:p>
    <w:p>
      <w:pPr>
        <w:pStyle w:val="BodyText"/>
      </w:pPr>
      <w:r>
        <w:drawing>
          <wp:inline>
            <wp:extent cx="3200400" cy="1749812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userguide_files/images/qs_11_default_value_graph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749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4267200" cy="3080938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userguide_files/images/qs_12_default_value_table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080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4"/>
    <w:bookmarkStart w:id="88" w:name="X820e52785a0030ca8194143852acf8646d2c40c"/>
    <w:p>
      <w:pPr>
        <w:pStyle w:val="Heading2"/>
      </w:pPr>
      <w:r>
        <w:t xml:space="preserve">Step 9: Follow the</w:t>
      </w:r>
      <w:r>
        <w:t xml:space="preserve"> </w:t>
      </w:r>
      <w:r>
        <w:t xml:space="preserve">“</w:t>
      </w:r>
      <w:r>
        <w:t xml:space="preserve">still need to enter</w:t>
      </w:r>
      <w:r>
        <w:t xml:space="preserve">”</w:t>
      </w:r>
      <w:r>
        <w:t xml:space="preserve"> </w:t>
      </w:r>
      <w:r>
        <w:t xml:space="preserve">guidance and view your prediction</w:t>
      </w:r>
    </w:p>
    <w:p>
      <w:pPr>
        <w:pStyle w:val="FirstParagraph"/>
      </w:pPr>
      <w:r>
        <w:t xml:space="preserve">Switch between the MMVSola’s</w:t>
      </w:r>
      <w:r>
        <w:t xml:space="preserve"> </w:t>
      </w:r>
      <w:r>
        <w:rPr>
          <w:bCs/>
          <w:b/>
        </w:rPr>
        <w:t xml:space="preserve">Oral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tab. If any inputs required for the</w:t>
      </w:r>
      <w:r>
        <w:t xml:space="preserve"> </w:t>
      </w:r>
      <w:r>
        <w:t xml:space="preserve">PK or PD prediction are still missing, MMVSola tells you exactly what they</w:t>
      </w:r>
      <w:r>
        <w:t xml:space="preserve"> </w:t>
      </w:r>
      <w:r>
        <w:t xml:space="preserve">are, e.g. </w:t>
      </w:r>
      <w:r>
        <w:rPr>
          <w:iCs/>
          <w:i/>
        </w:rPr>
        <w:t xml:space="preserve">“</w:t>
      </w:r>
      <w:r>
        <w:rPr>
          <w:iCs/>
          <w:i/>
        </w:rPr>
        <w:t xml:space="preserve">For the PD parameter prediction from SCID you still need to</w:t>
      </w:r>
      <w:r>
        <w:rPr>
          <w:iCs/>
          <w:i/>
        </w:rPr>
        <w:t xml:space="preserve"> </w:t>
      </w:r>
      <w:r>
        <w:rPr>
          <w:iCs/>
          <w:i/>
        </w:rPr>
        <w:t xml:space="preserve">enter: EC50_SCID</w:t>
      </w:r>
      <w:r>
        <w:rPr>
          <w:iCs/>
          <w:i/>
        </w:rPr>
        <w:t xml:space="preserve">”</w:t>
      </w:r>
      <w:r>
        <w:t xml:space="preserve">. For this walkthrough, enter the values shown with a white</w:t>
      </w:r>
      <w:r>
        <w:t xml:space="preserve"> </w:t>
      </w:r>
      <w:r>
        <w:t xml:space="preserve">background in the screenshot below:</w:t>
      </w:r>
      <w:r>
        <w:t xml:space="preserve"> </w:t>
      </w:r>
      <w:r>
        <w:rPr>
          <w:bCs/>
          <w:b/>
        </w:rPr>
        <w:t xml:space="preserve">Rat Blood to plasma ratio = 2</w:t>
      </w:r>
      <w:r>
        <w:t xml:space="preserve">,</w:t>
      </w:r>
      <w:r>
        <w:t xml:space="preserve"> </w:t>
      </w:r>
      <w:r>
        <w:rPr>
          <w:bCs/>
          <w:b/>
        </w:rPr>
        <w:t xml:space="preserve">Human Hep CLint = 2</w:t>
      </w:r>
      <w:r>
        <w:t xml:space="preserve">, and</w:t>
      </w:r>
      <w:r>
        <w:t xml:space="preserve"> </w:t>
      </w:r>
      <w:r>
        <w:rPr>
          <w:bCs/>
          <w:b/>
        </w:rPr>
        <w:t xml:space="preserve">TCGLS 3D7 72h IC50 = 2</w:t>
      </w:r>
      <w:r>
        <w:t xml:space="preserve">. This will result in Oral and LAI</w:t>
      </w:r>
      <w:r>
        <w:t xml:space="preserve"> </w:t>
      </w:r>
      <w:r>
        <w:t xml:space="preserve">dose predictions and visualization of the PK/PD profiles for the top-most dose criteria</w:t>
      </w:r>
      <w:r>
        <w:t xml:space="preserve"> </w:t>
      </w:r>
      <w:r>
        <w:t xml:space="preserve">in the Oral and LAI sub-tabs on the right. Then tick the</w:t>
      </w:r>
      <w:r>
        <w:t xml:space="preserve"> </w:t>
      </w:r>
      <w:r>
        <w:t xml:space="preserve">checkboxes as shown to overlay the simulated PK/PD profile for the</w:t>
      </w:r>
      <w:r>
        <w:t xml:space="preserve"> </w:t>
      </w:r>
      <w:r>
        <w:rPr>
          <w:bCs/>
          <w:b/>
        </w:rPr>
        <w:t xml:space="preserve">21 days &gt; MIC</w:t>
      </w:r>
      <w:r>
        <w:t xml:space="preserve"> </w:t>
      </w:r>
      <w:r>
        <w:t xml:space="preserve">dose and the tMIC coverage segment for the</w:t>
      </w:r>
      <w:r>
        <w:t xml:space="preserve"> </w:t>
      </w:r>
      <w:r>
        <w:rPr>
          <w:bCs/>
          <w:b/>
        </w:rPr>
        <w:t xml:space="preserve">12-log kill</w:t>
      </w:r>
      <w:r>
        <w:t xml:space="preserve"> </w:t>
      </w:r>
      <w:r>
        <w:t xml:space="preserve">dose on</w:t>
      </w:r>
      <w:r>
        <w:t xml:space="preserve"> </w:t>
      </w:r>
      <w:r>
        <w:t xml:space="preserve">the plot above the table.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userguide_files/images/qs_13_prediction_result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8"/>
    <w:bookmarkStart w:id="92" w:name="step-10-oral-and-lai-dose-prediction"/>
    <w:p>
      <w:pPr>
        <w:pStyle w:val="Heading2"/>
      </w:pPr>
      <w:r>
        <w:t xml:space="preserve">Step 10: Oral and LAI dose prediction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Oral</w:t>
      </w:r>
      <w:r>
        <w:t xml:space="preserve"> </w:t>
      </w:r>
      <w:r>
        <w:t xml:space="preserve">tab shows the predicted PK/PD profile and dose recommendations</w:t>
      </w:r>
      <w:r>
        <w:t xml:space="preserve"> </w:t>
      </w:r>
      <w:r>
        <w:t xml:space="preserve">for short treatment courses and oral chemoprevention regimens</w:t>
      </w:r>
      <w:r>
        <w:t xml:space="preserve"> </w:t>
      </w:r>
      <w:r>
        <w:t xml:space="preserve">(Section</w:t>
      </w:r>
      <w:r>
        <w:t xml:space="preserve"> </w:t>
      </w:r>
      <w:r>
        <w:t xml:space="preserve">3.1</w:t>
      </w:r>
      <w:r>
        <w:t xml:space="preserve">). The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tab does the same for</w:t>
      </w:r>
      <w:r>
        <w:t xml:space="preserve"> </w:t>
      </w:r>
      <w:r>
        <w:t xml:space="preserve">long-acting injectable formulations (Section</w:t>
      </w:r>
      <w:r>
        <w:t xml:space="preserve"> </w:t>
      </w:r>
      <w:r>
        <w:t xml:space="preserve">3.2</w:t>
      </w:r>
      <w:r>
        <w:t xml:space="preserve">) -</w:t>
      </w:r>
      <w:r>
        <w:t xml:space="preserve"> </w:t>
      </w:r>
      <w:r>
        <w:t xml:space="preserve">and needs a few additional inputs to configure the LAI simulation, described</w:t>
      </w:r>
      <w:r>
        <w:t xml:space="preserve"> </w:t>
      </w:r>
      <w:r>
        <w:t xml:space="preserve">below.</w:t>
      </w:r>
    </w:p>
    <w:p>
      <w:pPr>
        <w:pStyle w:val="BodyText"/>
      </w:pPr>
      <w:r>
        <w:t xml:space="preserve">MMVSola simulates the pharmacokinetics (PK) of LAI compounds using the same</w:t>
      </w:r>
      <w:r>
        <w:t xml:space="preserve"> </w:t>
      </w:r>
      <w:r>
        <w:t xml:space="preserve">one-compartment model with first-order absorption and linear elimination as</w:t>
      </w:r>
      <w:r>
        <w:t xml:space="preserve"> </w:t>
      </w:r>
      <w:r>
        <w:t xml:space="preserve">for oral dosing - clearance and volume are predicted with the same approach</w:t>
      </w:r>
      <w:r>
        <w:t xml:space="preserve"> </w:t>
      </w:r>
      <w:r>
        <w:t xml:space="preserve">described in Section</w:t>
      </w:r>
      <w:r>
        <w:t xml:space="preserve"> </w:t>
      </w:r>
      <w:r>
        <w:t xml:space="preserve">2.2</w:t>
      </w:r>
      <w:r>
        <w:t xml:space="preserve">. To run an LAI</w:t>
      </w:r>
      <w:r>
        <w:t xml:space="preserve"> </w:t>
      </w:r>
      <w:r>
        <w:t xml:space="preserve">simulation, define the bioavailability in the</w:t>
      </w:r>
      <w:r>
        <w:t xml:space="preserve"> </w:t>
      </w:r>
      <w:r>
        <w:rPr>
          <w:bCs/>
          <w:b/>
        </w:rPr>
        <w:t xml:space="preserve">fraction absorbed</w:t>
      </w:r>
      <w:r>
        <w:t xml:space="preserve"> </w:t>
      </w:r>
      <w:r>
        <w:t xml:space="preserve">fields of</w:t>
      </w:r>
      <w:r>
        <w:t xml:space="preserve"> </w:t>
      </w:r>
      <w:r>
        <w:t xml:space="preserve">the Simulation Parameters input group (default: 80%) - since there is no</w:t>
      </w:r>
      <w:r>
        <w:t xml:space="preserve"> </w:t>
      </w:r>
      <w:r>
        <w:t xml:space="preserve">first-pass metabolism for LAI dosing, the LAI bioavailability is equal to the</w:t>
      </w:r>
      <w:r>
        <w:t xml:space="preserve"> </w:t>
      </w:r>
      <w:r>
        <w:t xml:space="preserve">fraction absorbed.</w:t>
      </w:r>
    </w:p>
    <w:p>
      <w:pPr>
        <w:pStyle w:val="BodyText"/>
      </w:pPr>
      <w:r>
        <w:t xml:space="preserve">You will also need to enter one or more absorption rate constants (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w:r>
        <w:t xml:space="preserve">1/h) in the</w:t>
      </w:r>
      <w:r>
        <w:t xml:space="preserve"> </w:t>
      </w:r>
      <w:r>
        <w:rPr>
          <w:bCs/>
          <w:b/>
        </w:rPr>
        <w:t xml:space="preserve">LAI fast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LAI slow</w:t>
      </w:r>
      <w:r>
        <w:t xml:space="preserve"> </w:t>
      </w:r>
      <w:r>
        <w:t xml:space="preserve">fields. Two reference values are</w:t>
      </w:r>
      <w:r>
        <w:t xml:space="preserve"> </w:t>
      </w:r>
      <w:r>
        <w:t xml:space="preserve">provided, based on known human absorption rates for medroxyprogesterone</w:t>
      </w:r>
      <w:r>
        <w:t xml:space="preserve"> </w:t>
      </w:r>
      <w:r>
        <w:t xml:space="preserve">acetate (fast) and levonorgestrel butanoate (slow). If available, rat and dog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values can also be entered. Future versions of MMVSola are expected to</w:t>
      </w:r>
      <w:r>
        <w:t xml:space="preserve"> </w:t>
      </w:r>
      <w:r>
        <w:t xml:space="preserve">support direct upload of rat and dog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values from ScienceCloud, with</w:t>
      </w:r>
      <w:r>
        <w:t xml:space="preserve"> </w:t>
      </w:r>
      <w:r>
        <w:t xml:space="preserve">automatic assignment to the fast/slow fields and updated reporting labels.</w:t>
      </w:r>
    </w:p>
    <w:p>
      <w:pPr>
        <w:pStyle w:val="BodyText"/>
      </w:pPr>
      <w:r>
        <w:t xml:space="preserve">Animal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values can be estimated from intramuscular (IM) PK studies using</w:t>
      </w:r>
      <w:r>
        <w:t xml:space="preserve"> </w:t>
      </w:r>
      <w:r>
        <w:t xml:space="preserve">the log-linear terminal slope - often reported as lambda-z - assuming</w:t>
      </w:r>
      <w:r>
        <w:t xml:space="preserve"> </w:t>
      </w:r>
      <w:r>
        <w:t xml:space="preserve">flip-flop kinetics, where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approximately equal to that terminal</w:t>
      </w:r>
      <w:r>
        <w:t xml:space="preserve"> </w:t>
      </w:r>
      <w:r>
        <w:t xml:space="preserve">slope. Alternatively,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can be estimated using population PK modelling of</w:t>
      </w:r>
      <w:r>
        <w:t xml:space="preserve"> </w:t>
      </w:r>
      <w:r>
        <w:t xml:space="preserve">the animal data.</w:t>
      </w:r>
    </w:p>
    <w:p>
      <w:pPr>
        <w:pStyle w:val="BodyText"/>
      </w:pPr>
      <w:r>
        <w:t xml:space="preserve">Once these inputs are provided, the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tab shows the simulated PK/PD</w:t>
      </w:r>
      <w:r>
        <w:t xml:space="preserve"> </w:t>
      </w:r>
      <w:r>
        <w:t xml:space="preserve">profile and the predicted doses (Section</w:t>
      </w:r>
      <w:r>
        <w:t xml:space="preserve"> </w:t>
      </w:r>
      <w:r>
        <w:t xml:space="preserve">3.2</w:t>
      </w:r>
      <w:r>
        <w:t xml:space="preserve">). As on the</w:t>
      </w:r>
      <w:r>
        <w:t xml:space="preserve"> </w:t>
      </w:r>
      <w:r>
        <w:t xml:space="preserve">Oral tab, the dose table lists each predicted dose with its own checkbox and</w:t>
      </w:r>
      <w:r>
        <w:t xml:space="preserve"> </w:t>
      </w:r>
      <w:r>
        <w:t xml:space="preserve">an editable</w:t>
      </w:r>
      <w:r>
        <w:t xml:space="preserve"> </w:t>
      </w:r>
      <w:r>
        <w:rPr>
          <w:bCs/>
          <w:b/>
        </w:rPr>
        <w:t xml:space="preserve">Dose</w:t>
      </w:r>
      <w:r>
        <w:t xml:space="preserve"> </w:t>
      </w:r>
      <w:r>
        <w:t xml:space="preserve">field: ticking a row overlays its simulated profile and</w:t>
      </w:r>
      <w:r>
        <w:t xml:space="preserve"> </w:t>
      </w:r>
      <w:r>
        <w:t xml:space="preserve">its tMIC coverage segment - a horizontal bar marking the onset and duration of</w:t>
      </w:r>
      <w:r>
        <w:t xml:space="preserve"> </w:t>
      </w:r>
      <w:r>
        <w:t xml:space="preserve">the last uninterrupted period during which plasma concentrations stay above the MIC (Section</w:t>
      </w:r>
      <w:r>
        <w:t xml:space="preserve"> </w:t>
      </w:r>
      <w:r>
        <w:t xml:space="preserve">3.3</w:t>
      </w:r>
      <w:r>
        <w:t xml:space="preserve">), labelled</w:t>
      </w:r>
      <w:r>
        <w:t xml:space="preserve"> </w:t>
      </w:r>
      <w:r>
        <w:t xml:space="preserve">with the resulting coverage in days (e.g. </w:t>
      </w:r>
      <w:r>
        <w:t xml:space="preserve">“</w:t>
      </w:r>
      <w:r>
        <w:t xml:space="preserve">92.4 d</w:t>
      </w:r>
      <w:r>
        <w:t xml:space="preserve">”</w:t>
      </w:r>
      <w:r>
        <w:t xml:space="preserve">) - on the plot above,</w:t>
      </w:r>
      <w:r>
        <w:t xml:space="preserve"> </w:t>
      </w:r>
      <w:r>
        <w:t xml:space="preserve">while typing a different value into</w:t>
      </w:r>
      <w:r>
        <w:t xml:space="preserve"> </w:t>
      </w:r>
      <w:r>
        <w:rPr>
          <w:bCs/>
          <w:b/>
        </w:rPr>
        <w:t xml:space="preserve">Dose</w:t>
      </w:r>
      <w:r>
        <w:t xml:space="preserve"> </w:t>
      </w:r>
      <w:r>
        <w:t xml:space="preserve">immediately re-simulates and</w:t>
      </w:r>
      <w:r>
        <w:t xml:space="preserve"> </w:t>
      </w:r>
      <w:r>
        <w:t xml:space="preserve">redraws that row, making it easy to explore</w:t>
      </w:r>
      <w:r>
        <w:t xml:space="preserve"> </w:t>
      </w:r>
      <w:r>
        <w:t xml:space="preserve">“</w:t>
      </w:r>
      <w:r>
        <w:t xml:space="preserve">what dose would be needed to</w:t>
      </w:r>
      <w:r>
        <w:t xml:space="preserve"> </w:t>
      </w:r>
      <w:r>
        <w:t xml:space="preserve">achieve N days of coverage?</w:t>
      </w:r>
      <w:r>
        <w:t xml:space="preserve">”</w:t>
      </w:r>
      <w:r>
        <w:t xml:space="preserve"> </w:t>
      </w:r>
      <w:r>
        <w:t xml:space="preserve">without leaving the page. Switch from the</w:t>
      </w:r>
      <w:r>
        <w:t xml:space="preserve"> </w:t>
      </w:r>
      <w:r>
        <w:rPr>
          <w:bCs/>
          <w:b/>
        </w:rPr>
        <w:t xml:space="preserve">Oral</w:t>
      </w:r>
      <w:r>
        <w:t xml:space="preserve"> </w:t>
      </w:r>
      <w:r>
        <w:t xml:space="preserve">to the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sub-tab to see the corresponding LAI predictions.</w:t>
      </w:r>
    </w:p>
    <w:p>
      <w:pPr>
        <w:pStyle w:val="BodyText"/>
      </w:pPr>
      <w:r>
        <w:drawing>
          <wp:inline>
            <wp:extent cx="5334000" cy="3072384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userguide_files/images/qs_14_lai_prediction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2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2"/>
    <w:bookmarkStart w:id="96" w:name="X0ffe44cb57b22ef4becd8a5d3457d8a042b74cf"/>
    <w:p>
      <w:pPr>
        <w:pStyle w:val="Heading2"/>
      </w:pPr>
      <w:r>
        <w:t xml:space="preserve">Step 11: Generate and upload an MMVSola report file</w:t>
      </w:r>
    </w:p>
    <w:p>
      <w:pPr>
        <w:pStyle w:val="FirstParagraph"/>
      </w:pPr>
      <w:r>
        <w:t xml:space="preserve">Navigate to the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tab and click</w:t>
      </w:r>
      <w:r>
        <w:t xml:space="preserve"> </w:t>
      </w:r>
      <w:r>
        <w:rPr>
          <w:bCs/>
          <w:b/>
        </w:rPr>
        <w:t xml:space="preserve">Generate Full Report</w:t>
      </w:r>
      <w:r>
        <w:t xml:space="preserve">. Report</w:t>
      </w:r>
      <w:r>
        <w:t xml:space="preserve"> </w:t>
      </w:r>
      <w:r>
        <w:t xml:space="preserve">generation takes about a minute; once the download starts, save the file. Open the</w:t>
      </w:r>
      <w:r>
        <w:t xml:space="preserve"> </w:t>
      </w:r>
      <w:r>
        <w:t xml:space="preserve">report file in Excel and look at the Oral and LAI summary sheets. The plots shown there</w:t>
      </w:r>
      <w:r>
        <w:t xml:space="preserve"> </w:t>
      </w:r>
      <w:r>
        <w:t xml:space="preserve">reflect the checkbox selection you did in Step 9.</w:t>
      </w:r>
    </w:p>
    <w:p>
      <w:pPr>
        <w:pStyle w:val="BodyText"/>
      </w:pPr>
      <w:r>
        <w:t xml:space="preserve">To demonstrate the save-and-resume workflow, upload the same report you just</w:t>
      </w:r>
      <w:r>
        <w:t xml:space="preserve"> </w:t>
      </w:r>
      <w:r>
        <w:t xml:space="preserve">downloaded back into the app: go to</w:t>
      </w:r>
      <w:r>
        <w:t xml:space="preserve"> </w:t>
      </w:r>
      <w:r>
        <w:rPr>
          <w:bCs/>
          <w:b/>
        </w:rPr>
        <w:t xml:space="preserve">File Input</w:t>
      </w:r>
      <w:r>
        <w:t xml:space="preserve">, click</w:t>
      </w:r>
      <w:r>
        <w:t xml:space="preserve"> </w:t>
      </w:r>
      <w:r>
        <w:rPr>
          <w:bCs/>
          <w:b/>
        </w:rPr>
        <w:t xml:space="preserve">Browse</w:t>
      </w:r>
      <w:r>
        <w:t xml:space="preserve">, and</w:t>
      </w:r>
      <w:r>
        <w:t xml:space="preserve"> </w:t>
      </w:r>
      <w:r>
        <w:t xml:space="preserve">select the report file. Because a compound with the same name is already</w:t>
      </w:r>
      <w:r>
        <w:t xml:space="preserve"> </w:t>
      </w:r>
      <w:r>
        <w:t xml:space="preserve">loaded, MMVSola will show a dialog notifying you that the uploaded compound</w:t>
      </w:r>
      <w:r>
        <w:t xml:space="preserve"> </w:t>
      </w:r>
      <w:r>
        <w:t xml:space="preserve">was renamed with a suffix:</w:t>
      </w:r>
    </w:p>
    <w:p>
      <w:pPr>
        <w:pStyle w:val="BodyText"/>
      </w:pPr>
      <w:r>
        <w:drawing>
          <wp:inline>
            <wp:extent cx="3733800" cy="1977420"/>
            <wp:effectExtent b="0" l="0" r="0" t="0"/>
            <wp:docPr descr="" title="" id="94" name="Picture"/>
            <a:graphic>
              <a:graphicData uri="http://schemas.openxmlformats.org/drawingml/2006/picture">
                <pic:pic>
                  <pic:nvPicPr>
                    <pic:cNvPr descr="userguide_files/images/qs_15_upload_conflict_dialog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977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Click</w:t>
      </w:r>
      <w:r>
        <w:t xml:space="preserve"> </w:t>
      </w:r>
      <w:r>
        <w:rPr>
          <w:bCs/>
          <w:b/>
        </w:rPr>
        <w:t xml:space="preserve">OK</w:t>
      </w:r>
      <w:r>
        <w:t xml:space="preserve"> </w:t>
      </w:r>
      <w:r>
        <w:t xml:space="preserve">to confirm. If you kept the default compound name (</w:t>
      </w:r>
      <w:r>
        <w:rPr>
          <w:rStyle w:val="VerbatimChar"/>
        </w:rPr>
        <w:t xml:space="preserve">MMVSola</w:t>
      </w:r>
      <w:r>
        <w:t xml:space="preserve">),</w:t>
      </w:r>
      <w:r>
        <w:t xml:space="preserve"> </w:t>
      </w:r>
      <w:r>
        <w:t xml:space="preserve">the first upload renames it to</w:t>
      </w:r>
      <w:r>
        <w:t xml:space="preserve"> </w:t>
      </w:r>
      <w:r>
        <w:rPr>
          <w:rStyle w:val="VerbatimChar"/>
        </w:rPr>
        <w:t xml:space="preserve">MMVSola..(1)</w:t>
      </w:r>
      <w:r>
        <w:t xml:space="preserve">. Upload the same report file a</w:t>
      </w:r>
      <w:r>
        <w:t xml:space="preserve"> </w:t>
      </w:r>
      <w:r>
        <w:t xml:space="preserve">second time to create a copy named</w:t>
      </w:r>
      <w:r>
        <w:t xml:space="preserve"> </w:t>
      </w:r>
      <w:r>
        <w:rPr>
          <w:rStyle w:val="VerbatimChar"/>
        </w:rPr>
        <w:t xml:space="preserve">MMVSola..(2)</w:t>
      </w:r>
      <w:r>
        <w:t xml:space="preserve"> </w:t>
      </w:r>
      <w:r>
        <w:t xml:space="preserve">- you will use this in</w:t>
      </w:r>
      <w:r>
        <w:t xml:space="preserve"> </w:t>
      </w:r>
      <w:r>
        <w:t xml:space="preserve">Step 12.</w:t>
      </w:r>
    </w:p>
    <w:bookmarkEnd w:id="96"/>
    <w:bookmarkStart w:id="109" w:name="X74f8de46b97f9a114e99bcfc3d4202969da6c73"/>
    <w:p>
      <w:pPr>
        <w:pStyle w:val="Heading2"/>
      </w:pPr>
      <w:r>
        <w:t xml:space="preserve">Step 12: Comparing predictions across compounds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bCs/>
          <w:b/>
        </w:rPr>
        <w:t xml:space="preserve">Active compound</w:t>
      </w:r>
      <w:r>
        <w:t xml:space="preserve"> </w:t>
      </w:r>
      <w:r>
        <w:t xml:space="preserve">dropdown at the top of the left panel, select</w:t>
      </w:r>
      <w:r>
        <w:t xml:space="preserve"> </w:t>
      </w:r>
      <w:r>
        <w:rPr>
          <w:bCs/>
          <w:b/>
        </w:rPr>
        <w:t xml:space="preserve">MMVSola..(2)</w:t>
      </w:r>
      <w:r>
        <w:t xml:space="preserve">:</w:t>
      </w:r>
    </w:p>
    <w:p>
      <w:pPr>
        <w:pStyle w:val="BodyText"/>
      </w:pPr>
      <w:r>
        <w:drawing>
          <wp:inline>
            <wp:extent cx="2133600" cy="765907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userguide_files/images/qs_16_active_compound_select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65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Open</w:t>
      </w:r>
      <w:r>
        <w:t xml:space="preserve"> </w:t>
      </w:r>
      <w:r>
        <w:rPr>
          <w:bCs/>
          <w:b/>
        </w:rPr>
        <w:t xml:space="preserve">PD in vitro</w:t>
      </w:r>
      <w:r>
        <w:t xml:space="preserve"> </w:t>
      </w:r>
      <w:r>
        <w:t xml:space="preserve">and change the</w:t>
      </w:r>
      <w:r>
        <w:t xml:space="preserve"> </w:t>
      </w:r>
      <w:r>
        <w:rPr>
          <w:bCs/>
          <w:b/>
        </w:rPr>
        <w:t xml:space="preserve">TCGLS 3D7 72h IC50 [nM]</w:t>
      </w:r>
      <w:r>
        <w:t xml:space="preserve"> </w:t>
      </w:r>
      <w:r>
        <w:t xml:space="preserve">value to</w:t>
      </w:r>
      <w:r>
        <w:t xml:space="preserve"> </w:t>
      </w:r>
      <w:r>
        <w:rPr>
          <w:bCs/>
          <w:b/>
        </w:rPr>
        <w:t xml:space="preserve">1.5</w:t>
      </w:r>
      <w:r>
        <w:t xml:space="preserve">. This gives the second compound a more potent in vitro profile, which</w:t>
      </w:r>
      <w:r>
        <w:t xml:space="preserve"> </w:t>
      </w:r>
      <w:r>
        <w:t xml:space="preserve">will result in smaller predicted doses:</w:t>
      </w:r>
    </w:p>
    <w:p>
      <w:pPr>
        <w:pStyle w:val="BodyText"/>
      </w:pPr>
      <w:r>
        <w:drawing>
          <wp:inline>
            <wp:extent cx="2133600" cy="1300162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userguide_files/images/qs_17_second_compound_ic50.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001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Now navigate to the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tab. Both</w:t>
      </w:r>
      <w:r>
        <w:t xml:space="preserve"> </w:t>
      </w:r>
      <w:r>
        <w:rPr>
          <w:rStyle w:val="VerbatimChar"/>
        </w:rPr>
        <w:t xml:space="preserve">MMVSola..(1)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MMVSola..(2)</w:t>
      </w:r>
      <w:r>
        <w:t xml:space="preserve"> </w:t>
      </w:r>
      <w:r>
        <w:t xml:space="preserve">should be ticked under</w:t>
      </w:r>
      <w:r>
        <w:t xml:space="preserve"> </w:t>
      </w:r>
      <w:r>
        <w:rPr>
          <w:bCs/>
          <w:b/>
        </w:rPr>
        <w:t xml:space="preserve">Select compound</w:t>
      </w:r>
      <w:r>
        <w:t xml:space="preserve"> </w:t>
      </w:r>
      <w:r>
        <w:t xml:space="preserve">- if not, tick them both (or click</w:t>
      </w:r>
      <w:r>
        <w:t xml:space="preserve"> </w:t>
      </w:r>
      <w:r>
        <w:rPr>
          <w:bCs/>
          <w:b/>
        </w:rPr>
        <w:t xml:space="preserve">Select all</w:t>
      </w:r>
      <w:r>
        <w:t xml:space="preserve">). Then click</w:t>
      </w:r>
      <w:r>
        <w:t xml:space="preserve"> </w:t>
      </w:r>
      <w:r>
        <w:rPr>
          <w:bCs/>
          <w:b/>
        </w:rPr>
        <w:t xml:space="preserve">Generate Full Report</w:t>
      </w:r>
      <w:r>
        <w:t xml:space="preserve">:</w:t>
      </w:r>
    </w:p>
    <w:p>
      <w:pPr>
        <w:pStyle w:val="BodyText"/>
      </w:pPr>
      <w:r>
        <w:drawing>
          <wp:inline>
            <wp:extent cx="5334000" cy="1898293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userguide_files/images/qs_18_report_two_compounds.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8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Open the downloaded workbook and navigate to the</w:t>
      </w:r>
      <w:r>
        <w:t xml:space="preserve"> </w:t>
      </w:r>
      <w:r>
        <w:rPr>
          <w:bCs/>
          <w:b/>
        </w:rPr>
        <w:t xml:space="preserve">Oral Comparative Summary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LAI Comparative Summary</w:t>
      </w:r>
      <w:r>
        <w:t xml:space="preserve"> </w:t>
      </w:r>
      <w:r>
        <w:t xml:space="preserve">sheet to see the two compounds side by side -</w:t>
      </w:r>
      <w:r>
        <w:t xml:space="preserve"> </w:t>
      </w:r>
      <w:r>
        <w:t xml:space="preserve">comparing their plasma EC</w:t>
      </w:r>
      <w:r>
        <w:rPr>
          <w:vertAlign w:val="subscript"/>
        </w:rPr>
        <w:t xml:space="preserve">50</w:t>
      </w:r>
      <w:r>
        <w:t xml:space="preserve">, PD thresholds, and predicted doses at a</w:t>
      </w:r>
      <w:r>
        <w:t xml:space="preserve"> </w:t>
      </w:r>
      <w:r>
        <w:t xml:space="preserve">glance:</w:t>
      </w:r>
    </w:p>
    <w:p>
      <w:pPr>
        <w:pStyle w:val="BodyText"/>
      </w:pPr>
      <w:r>
        <w:drawing>
          <wp:inline>
            <wp:extent cx="3733800" cy="4662948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userguide_files/images/qs_19_comparative_summary.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6629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09"/>
    <w:bookmarkEnd w:id="110"/>
    <w:bookmarkStart w:id="133" w:name="human-pkpd-parameter-prediction"/>
    <w:p>
      <w:pPr>
        <w:pStyle w:val="Heading1"/>
      </w:pPr>
      <w:r>
        <w:rPr>
          <w:rStyle w:val="SectionNumber"/>
        </w:rPr>
        <w:t xml:space="preserve">2</w:t>
      </w:r>
      <w:r>
        <w:tab/>
      </w:r>
      <w:r>
        <w:t xml:space="preserve">Human PK/PD Parameter Prediction</w:t>
      </w:r>
    </w:p>
    <w:p>
      <w:pPr>
        <w:pStyle w:val="FirstParagraph"/>
      </w:pPr>
      <w:r>
        <w:t xml:space="preserve">This chapter describes how MMVSola predicts human pharmacokinetic (PK) and</w:t>
      </w:r>
      <w:r>
        <w:t xml:space="preserve"> </w:t>
      </w:r>
      <w:r>
        <w:t xml:space="preserve">pharmacodynamic (PD) parameters from experimental data, and how those parameters</w:t>
      </w:r>
      <w:r>
        <w:t xml:space="preserve"> </w:t>
      </w:r>
      <w:r>
        <w:t xml:space="preserve">are used to simulate drug concentration and antimalarial activity over time.</w:t>
      </w:r>
    </w:p>
    <w:bookmarkStart w:id="111" w:name="assumed-human-pkpd-structural-model"/>
    <w:p>
      <w:pPr>
        <w:pStyle w:val="Heading2"/>
      </w:pPr>
      <w:r>
        <w:rPr>
          <w:rStyle w:val="SectionNumber"/>
        </w:rPr>
        <w:t xml:space="preserve">2.1</w:t>
      </w:r>
      <w:r>
        <w:tab/>
      </w:r>
      <w:r>
        <w:t xml:space="preserve">Assumed Human PK/PD Structural Model</w:t>
      </w:r>
    </w:p>
    <w:p>
      <w:pPr>
        <w:pStyle w:val="FirstParagraph"/>
      </w:pPr>
      <w:r>
        <w:t xml:space="preserve">MMVSola uses a</w:t>
      </w:r>
      <w:r>
        <w:t xml:space="preserve"> </w:t>
      </w:r>
      <w:r>
        <w:rPr>
          <w:bCs/>
          <w:b/>
        </w:rPr>
        <w:t xml:space="preserve">one-compartment pharmacokinetic model</w:t>
      </w:r>
      <w:r>
        <w:t xml:space="preserve"> </w:t>
      </w:r>
      <w:r>
        <w:t xml:space="preserve">to describe how a drug</w:t>
      </w:r>
      <w:r>
        <w:t xml:space="preserve"> </w:t>
      </w:r>
      <w:r>
        <w:t xml:space="preserve">moves through the body, combined with a</w:t>
      </w:r>
      <w:r>
        <w:t xml:space="preserve"> </w:t>
      </w:r>
      <w:r>
        <w:rPr>
          <w:bCs/>
          <w:b/>
        </w:rPr>
        <w:t xml:space="preserve">parasite killing (PD) model</w:t>
      </w:r>
      <w:r>
        <w:t xml:space="preserve"> </w:t>
      </w:r>
      <w:r>
        <w:t xml:space="preserve">to</w:t>
      </w:r>
      <w:r>
        <w:t xml:space="preserve"> </w:t>
      </w:r>
      <w:r>
        <w:t xml:space="preserve">simulate the time-course of antimalarial activity.</w:t>
      </w:r>
    </w:p>
    <w:p>
      <w:pPr>
        <w:pStyle w:val="BodyText"/>
      </w:pPr>
      <w:r>
        <w:t xml:space="preserve">The one-compartment model treats the entire body as a single, well-mixed pool.</w:t>
      </w:r>
      <w:r>
        <w:t xml:space="preserve"> </w:t>
      </w:r>
      <w:r>
        <w:t xml:space="preserve">After dosing, drug is absorbed from the gut (or from the injection depot for</w:t>
      </w:r>
      <w:r>
        <w:t xml:space="preserve"> </w:t>
      </w:r>
      <w:r>
        <w:t xml:space="preserve">LAI) at a rate governed by the absorption rate constant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 enters the</w:t>
      </w:r>
      <w:r>
        <w:t xml:space="preserve"> </w:t>
      </w:r>
      <w:r>
        <w:t xml:space="preserve">bloodstream. From there, it is cleared at a rate described by the clearance</w:t>
      </w:r>
      <w:r>
        <w:t xml:space="preserve"> </w:t>
      </w:r>
      <w:r>
        <w:rPr>
          <w:iCs/>
          <w:i/>
        </w:rPr>
        <w:t xml:space="preserve">CL</w:t>
      </w:r>
      <w:r>
        <w:t xml:space="preserve"> </w:t>
      </w:r>
      <w:r>
        <w:t xml:space="preserve">relative to the apparent volume of distribution</w:t>
      </w:r>
      <w:r>
        <w:t xml:space="preserve"> </w:t>
      </w:r>
      <m:oMath>
        <m:sSub>
          <m:e>
            <m:r>
              <m:t>V</m:t>
            </m:r>
          </m:e>
          <m:sub>
            <m:r>
              <m:t>c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The PD model describes how fluctuating drug concentrations in the plasma drive</w:t>
      </w:r>
      <w:r>
        <w:t xml:space="preserve"> </w:t>
      </w:r>
      <w:r>
        <w:t xml:space="preserve">changes in parasitemia (the number of circulating parasites). Without drug,</w:t>
      </w:r>
      <w:r>
        <w:t xml:space="preserve"> </w:t>
      </w:r>
      <w:r>
        <w:t xml:space="preserve">parasites multiply exponentially, parameterized at the ln-parasitemia scale by a constant growth-rate (</w:t>
      </w:r>
      <w:r>
        <w:rPr>
          <w:iCs/>
          <w:i/>
        </w:rPr>
        <w:t xml:space="preserve">GR</w:t>
      </w:r>
      <w:r>
        <w:t xml:space="preserve">). When drug is present, it</w:t>
      </w:r>
      <w:r>
        <w:t xml:space="preserve"> </w:t>
      </w:r>
      <w:r>
        <w:t xml:space="preserve">exerts a killing effect that follows a sigmoidal curve: the effect is</w:t>
      </w:r>
      <w:r>
        <w:t xml:space="preserve"> </w:t>
      </w:r>
      <w:r>
        <w:t xml:space="preserve">half-maximal at the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concentration, the maximum possible kill rate is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, and the Hill coefficient (</w:t>
      </w:r>
      <w:r>
        <w:rPr>
          <w:iCs/>
          <w:i/>
        </w:rPr>
        <w:t xml:space="preserve">h</w:t>
      </w:r>
      <w:r>
        <w:t xml:space="preserve">) determines how steeply the effect</w:t>
      </w:r>
      <w:r>
        <w:t xml:space="preserve"> </w:t>
      </w:r>
      <w:r>
        <w:t xml:space="preserve">increases with concentration. A PD lag time (</w:t>
      </w:r>
      <m:oMath>
        <m:sSub>
          <m:e>
            <m:r>
              <m:t>k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) can be included to</w:t>
      </w:r>
      <w:r>
        <w:t xml:space="preserve"> </w:t>
      </w:r>
      <w:r>
        <w:t xml:space="preserve">capture a delay between drug exposure and onset of killing - for example, a</w:t>
      </w:r>
      <w:r>
        <w:t xml:space="preserve"> </w:t>
      </w:r>
      <w:r>
        <w:t xml:space="preserve">drug whose mechanism only becomes lethal once an exposed parasite reaches a</w:t>
      </w:r>
      <w:r>
        <w:t xml:space="preserve"> </w:t>
      </w:r>
      <w:r>
        <w:t xml:space="preserve">specific stage of its ~48-hour life cycle, so that the killing effect of a</w:t>
      </w:r>
      <w:r>
        <w:t xml:space="preserve"> </w:t>
      </w:r>
      <w:r>
        <w:t xml:space="preserve">given exposure only manifests some time later.</w:t>
      </w:r>
    </w:p>
    <w:p>
      <w:pPr>
        <w:pStyle w:val="BodyText"/>
      </w:pPr>
      <w:r>
        <w:rPr>
          <w:bCs/>
          <w:b/>
        </w:rPr>
        <w:t xml:space="preserve">Body weight scaling.</w:t>
      </w:r>
      <w:r>
        <w:t xml:space="preserve"> </w:t>
      </w:r>
      <w:r>
        <w:t xml:space="preserve">Clearance scales with body weight raised to the power</w:t>
      </w:r>
      <w:r>
        <w:t xml:space="preserve"> </w:t>
      </w:r>
      <w:r>
        <w:t xml:space="preserve">0.75 (</w:t>
      </w:r>
      <m:oMath>
        <m:r>
          <m:t>C</m:t>
        </m:r>
        <m:r>
          <m:t>L</m:t>
        </m:r>
        <m:r>
          <m:rPr>
            <m:sty m:val="p"/>
          </m:rPr>
          <m:t>∝</m:t>
        </m:r>
        <m:r>
          <m:t>B</m:t>
        </m:r>
        <m:sSup>
          <m:e>
            <m:r>
              <m:t>W</m:t>
            </m:r>
          </m:e>
          <m:sup>
            <m:r>
              <m:t>0.75</m:t>
            </m:r>
          </m:sup>
        </m:sSup>
      </m:oMath>
      <w:r>
        <w:t xml:space="preserve">) and volume scales linearly with body weight</w:t>
      </w:r>
      <w:r>
        <w:t xml:space="preserve"> </w:t>
      </w:r>
      <w:r>
        <w:t xml:space="preserve">(</w:t>
      </w:r>
      <m:oMath>
        <m:sSub>
          <m:e>
            <m:r>
              <m:t>V</m:t>
            </m:r>
          </m:e>
          <m:sub>
            <m:r>
              <m:t>c</m:t>
            </m:r>
          </m:sub>
        </m:sSub>
        <m:r>
          <m:rPr>
            <m:sty m:val="p"/>
          </m:rPr>
          <m:t>∝</m:t>
        </m:r>
        <m:r>
          <m:t>B</m:t>
        </m:r>
        <m:r>
          <m:t>W</m:t>
        </m:r>
      </m:oMath>
      <w:r>
        <w:t xml:space="preserve">). The patient body weight is set in the Simulation Parameters</w:t>
      </w:r>
      <w:r>
        <w:t xml:space="preserve"> </w:t>
      </w:r>
      <w:r>
        <w:t xml:space="preserve">tab (default: 55 kg, the average weight of African adults from clinical trial</w:t>
      </w:r>
      <w:r>
        <w:t xml:space="preserve"> </w:t>
      </w:r>
      <w:r>
        <w:t xml:space="preserve">datasets).</w:t>
      </w:r>
    </w:p>
    <w:p>
      <w:pPr>
        <w:pStyle w:val="BodyText"/>
      </w:pPr>
      <w:r>
        <w:t xml:space="preserve">The full structural model equations are:</w:t>
      </w:r>
    </w:p>
    <w:p>
      <w:pPr>
        <w:pStyle w:val="SourceCode"/>
      </w:pPr>
      <w:r>
        <w:rPr>
          <w:rStyle w:val="VerbatimChar"/>
        </w:rPr>
        <w:t xml:space="preserve"># Pharmacokinetic model: one compartment, first-order absorption</w:t>
      </w:r>
      <w:r>
        <w:br/>
      </w:r>
      <w:r>
        <w:br/>
      </w:r>
      <w:r>
        <w:rPr>
          <w:rStyle w:val="VerbatimChar"/>
        </w:rPr>
        <w:t xml:space="preserve">d/dt(Ad) = -ka * Ad + Fabs1 * Dose(t)    [absorption depot, µg]</w:t>
      </w:r>
      <w:r>
        <w:br/>
      </w:r>
      <w:r>
        <w:rPr>
          <w:rStyle w:val="VerbatimChar"/>
        </w:rPr>
        <w:t xml:space="preserve">d/dt(Ac) =  ka * Ad - (CL/Vc) * Ac       [central compartment, µg]</w:t>
      </w:r>
      <w:r>
        <w:br/>
      </w:r>
      <w:r>
        <w:br/>
      </w:r>
      <w:r>
        <w:rPr>
          <w:rStyle w:val="VerbatimChar"/>
        </w:rPr>
        <w:t xml:space="preserve">Drug concentration in plasma: Cc = Ac / Vc  [µg/mL]</w:t>
      </w:r>
      <w:r>
        <w:br/>
      </w:r>
      <w:r>
        <w:br/>
      </w:r>
      <w:r>
        <w:rPr>
          <w:rStyle w:val="VerbatimChar"/>
        </w:rPr>
        <w:t xml:space="preserve"># Pharmacodynamic model: log-transformed parasitemia, Emax killing</w:t>
      </w:r>
      <w:r>
        <w:br/>
      </w:r>
      <w:r>
        <w:br/>
      </w:r>
      <w:r>
        <w:rPr>
          <w:rStyle w:val="VerbatimChar"/>
        </w:rPr>
        <w:t xml:space="preserve">d/dt(Ekill) = klag * (EMAX - Ekill)       [PD lag compartment, 1/h]</w:t>
      </w:r>
      <w:r>
        <w:br/>
      </w:r>
      <w:r>
        <w:rPr>
          <w:rStyle w:val="VerbatimChar"/>
        </w:rPr>
        <w:t xml:space="preserve">d/dt(PL)    = GR - Ekill * Cc^h / (Cc^h + EC50^h)  [log parasitemia]</w:t>
      </w:r>
      <w:r>
        <w:br/>
      </w:r>
      <w:r>
        <w:br/>
      </w:r>
      <w:r>
        <w:rPr>
          <w:rStyle w:val="VerbatimChar"/>
        </w:rPr>
        <w:t xml:space="preserve">Initial conditions:</w:t>
      </w:r>
      <w:r>
        <w:br/>
      </w:r>
      <w:r>
        <w:rPr>
          <w:rStyle w:val="VerbatimChar"/>
        </w:rPr>
        <w:t xml:space="preserve">  PL(0)    = PLbase = ln(10^12)   [~10^12 parasites/mL at start of infection]</w:t>
      </w:r>
      <w:r>
        <w:br/>
      </w:r>
      <w:r>
        <w:rPr>
          <w:rStyle w:val="VerbatimChar"/>
        </w:rPr>
        <w:t xml:space="preserve">  Ekill(0) = 0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2227"/>
        <w:gridCol w:w="1732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A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Drug amount in the absorption depot (gut or LAI injection 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A</m:t>
                  </m:r>
                </m:e>
                <m:sub>
                  <m:r>
                    <m:t>c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Drug amount in the central (plasma) compartment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C</m:t>
                  </m:r>
                </m:e>
                <m:sub>
                  <m:r>
                    <m:t>c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Drug concentration in plasma (</w:t>
            </w:r>
            <m:oMath>
              <m:sSub>
                <m:e>
                  <m:r>
                    <m:t>C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c</m:t>
                  </m:r>
                </m:sub>
              </m:sSub>
              <m:r>
                <m:rPr>
                  <m:sty m:val="p"/>
                </m:rPr>
                <m:t>/</m:t>
              </m:r>
              <m:sSub>
                <m:e>
                  <m:r>
                    <m:t>V</m:t>
                  </m:r>
                </m:e>
                <m:sub>
                  <m:r>
                    <m:t>c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µg/mL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Parasitemia (number of circulating parasites per mL)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parasites/mL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r>
                <m:t>L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Log-transformed parasitemia (</w:t>
            </w:r>
            <m:oMath>
              <m:r>
                <m:t>P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P</m:t>
                  </m:r>
                </m:e>
              </m:d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ln(parasites/mL)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E</m:t>
                  </m:r>
                </m:e>
                <m:sub>
                  <m:r>
                    <m:t>k</m:t>
                  </m:r>
                  <m:r>
                    <m:t>i</m:t>
                  </m:r>
                  <m:r>
                    <m:t>l</m:t>
                  </m:r>
                  <m:r>
                    <m:t>l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Realised parasite-killing effect (lags behind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M</m:t>
                  </m:r>
                  <m:r>
                    <m:t>A</m:t>
                  </m:r>
                  <m:r>
                    <m:t>X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t>l</m:t>
                  </m:r>
                  <m:r>
                    <m:t>a</m:t>
                  </m:r>
                  <m:r>
                    <m:t>g</m:t>
                  </m:r>
                </m:sub>
              </m:sSub>
            </m:oMath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Simulated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F</m:t>
                  </m:r>
                </m:e>
                <m:sub>
                  <m:r>
                    <m:t>a</m:t>
                  </m:r>
                  <m:r>
                    <m:t>b</m:t>
                  </m:r>
                  <m:r>
                    <m:t>s</m:t>
                  </m:r>
                  <m:r>
                    <m:t>1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Overall bioavailability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Default value or user input - depends on administration route (Oral vs LAI)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a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Absorption rate constant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User input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C</m:t>
              </m:r>
              <m:r>
                <m:t>L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Apparent plasma clearance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IVIVE and/or allometry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V</m:t>
                  </m:r>
                </m:e>
                <m:sub>
                  <m:r>
                    <m:t>c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Apparent plasma volume of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Allometry from animal Vss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  <m:r>
                <m:t>R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Net PL growth rate in patient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Fixed constant (0.07)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E</m:t>
                  </m:r>
                </m:e>
                <m:sub>
                  <m:r>
                    <m:t>M</m:t>
                  </m:r>
                  <m:r>
                    <m:t>A</m:t>
                  </m:r>
                  <m:r>
                    <m:t>X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Maximum parasite kill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from in vitro PRR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E</m:t>
              </m:r>
              <m:sSub>
                <m:e>
                  <m:r>
                    <m:t>C</m:t>
                  </m:r>
                </m:e>
                <m:sub>
                  <m:r>
                    <m:t>50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Plasma concentration at 50% of maximum kill effect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µg/mL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From in vitro or SCID data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h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Hill coefficient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From in vitro or SCID data</w:t>
            </w:r>
          </w:p>
        </w:tc>
      </w:tr>
      <w:tr>
        <w:tc>
          <w:tcPr/>
          <w:p>
            <w:pPr>
              <w:pStyle w:val="Compact"/>
              <w:jc w:val="left"/>
            </w:pPr>
            <m:oMath>
              <m:sSub>
                <m:e>
                  <m:r>
                    <m:t>k</m:t>
                  </m:r>
                </m:e>
                <m:sub>
                  <m:r>
                    <m:t>l</m:t>
                  </m:r>
                  <m:r>
                    <m:t>a</m:t>
                  </m:r>
                  <m:r>
                    <m:t>g</m:t>
                  </m:r>
                </m:sub>
              </m:sSub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PD lag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Derived from user-entered PRR lag time</w:t>
            </w:r>
          </w:p>
        </w:tc>
      </w:tr>
    </w:tbl>
    <w:bookmarkEnd w:id="111"/>
    <w:bookmarkStart w:id="122" w:name="pk-parameter-prediction"/>
    <w:p>
      <w:pPr>
        <w:pStyle w:val="Heading2"/>
      </w:pPr>
      <w:r>
        <w:rPr>
          <w:rStyle w:val="SectionNumber"/>
        </w:rPr>
        <w:t xml:space="preserve">2.2</w:t>
      </w:r>
      <w:r>
        <w:tab/>
      </w:r>
      <w:r>
        <w:t xml:space="preserve">PK Parameter Prediction</w:t>
      </w:r>
    </w:p>
    <w:bookmarkStart w:id="112" w:name="bioavailability"/>
    <w:p>
      <w:pPr>
        <w:pStyle w:val="Heading3"/>
      </w:pPr>
      <w:r>
        <w:rPr>
          <w:rStyle w:val="SectionNumber"/>
        </w:rPr>
        <w:t xml:space="preserve">2.2.1</w:t>
      </w:r>
      <w:r>
        <w:tab/>
      </w:r>
      <w:r>
        <w:t xml:space="preserve">Bioavailability</w:t>
      </w:r>
    </w:p>
    <w:p>
      <w:pPr>
        <w:pStyle w:val="FirstParagraph"/>
      </w:pPr>
      <w:r>
        <w:t xml:space="preserve">Bioavailability is the fraction of an administered dose that reaches the</w:t>
      </w:r>
      <w:r>
        <w:t xml:space="preserve"> </w:t>
      </w:r>
      <w:r>
        <w:t xml:space="preserve">systemic circulation as intact drug.</w:t>
      </w:r>
    </w:p>
    <w:p>
      <w:pPr>
        <w:pStyle w:val="BodyText"/>
      </w:pPr>
      <w:r>
        <w:t xml:space="preserve">For oral dosing, three barriers reduce bioavailability: incomplete absorption across the gut wall, intestinal gut wall metabolism, and first-pass removal by the liver before drug can reach the bloodstream. MMVSola models these as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a</m:t>
              </m:r>
              <m:r>
                <m:t>b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o</m:t>
              </m:r>
              <m:r>
                <m:t>r</m:t>
              </m:r>
              <m:r>
                <m:t>a</m:t>
              </m:r>
              <m:r>
                <m:t>l</m:t>
              </m:r>
            </m:sub>
          </m:sSub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×</m:t>
          </m:r>
          <m:sSub>
            <m:e>
              <m:r>
                <m:t>f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×</m:t>
          </m:r>
          <m:sSub>
            <m:e>
              <m:r>
                <m:t>F</m:t>
              </m:r>
            </m:e>
            <m:sub>
              <m:r>
                <m:t>h</m:t>
              </m:r>
            </m:sub>
          </m:sSub>
        </m:oMath>
      </m:oMathPara>
    </w:p>
    <w:p>
      <w:pPr>
        <w:pStyle w:val="FirstParagraph"/>
      </w:pPr>
      <w:r>
        <w:t xml:space="preserve">, where</w:t>
      </w:r>
      <w:r>
        <w:t xml:space="preserve"> </w:t>
      </w:r>
      <m:oMath>
        <m:sSub>
          <m:e>
            <m:r>
              <m:t>f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denotes the fraction of the dose absorbed across the gut wall,</w:t>
      </w:r>
      <w:r>
        <w:t xml:space="preserve"> </w:t>
      </w:r>
      <m:oMath>
        <m:sSub>
          <m:e>
            <m:r>
              <m:t>f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denotes the fraction that escapes gut-wall (intestinal) metabolism, and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denotes the the fraction that escapes hepatic first-pass metabolism.</w:t>
      </w:r>
    </w:p>
    <w:p>
      <w:pPr>
        <w:pStyle w:val="BodyText"/>
      </w:pPr>
      <w:r>
        <w:t xml:space="preserve">MMVSola assumes</w:t>
      </w:r>
      <w:r>
        <w:t xml:space="preserve"> </w:t>
      </w:r>
      <m:oMath>
        <m:sSub>
          <m:e>
            <m:r>
              <m:t>f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(100% - gut-wall metabolism is not modelled</w:t>
      </w:r>
      <w:r>
        <w:t xml:space="preserve"> </w:t>
      </w:r>
      <w:r>
        <w:t xml:space="preserve">separately), and lets the user enter</w:t>
      </w:r>
      <w:r>
        <w:t xml:space="preserve"> </w:t>
      </w:r>
      <m:oMath>
        <m:sSub>
          <m:e>
            <m:r>
              <m:t>f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directly as the</w:t>
      </w:r>
      <w:r>
        <w:t xml:space="preserve"> </w:t>
      </w:r>
      <w:r>
        <w:rPr>
          <w:bCs/>
          <w:b/>
        </w:rPr>
        <w:t xml:space="preserve">fraction</w:t>
      </w:r>
      <w:r>
        <w:rPr>
          <w:bCs/>
          <w:b/>
        </w:rPr>
        <w:t xml:space="preserve"> </w:t>
      </w:r>
      <w:r>
        <w:rPr>
          <w:bCs/>
          <w:b/>
        </w:rPr>
        <w:t xml:space="preserve">absorbed before first pass effect</w:t>
      </w:r>
      <w:r>
        <w:t xml:space="preserve"> </w:t>
      </w:r>
      <w:r>
        <w:t xml:space="preserve">(default: 1.0, i.e. complete gut</w:t>
      </w:r>
      <w:r>
        <w:t xml:space="preserve"> </w:t>
      </w:r>
      <w:r>
        <w:t xml:space="preserve">absorption assumed; adjustable in Simulation Parameters input group).</w:t>
      </w:r>
    </w:p>
    <w:p>
      <w:pPr>
        <w:pStyle w:val="BodyText"/>
      </w:pPr>
      <w:r>
        <w:t xml:space="preserve">The hepatic availability</w:t>
      </w:r>
      <w:r>
        <w:t xml:space="preserve"> </w:t>
      </w:r>
      <m:oMath>
        <m:sSub>
          <m:e>
            <m:r>
              <m:t>F</m:t>
            </m:r>
          </m:e>
          <m:sub>
            <m:r>
              <m:t>h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 calculated from the hepatic</w:t>
      </w:r>
      <w:r>
        <w:t xml:space="preserve"> </w:t>
      </w:r>
      <w:r>
        <w:t xml:space="preserve">extraction ratio</w:t>
      </w:r>
      <w:r>
        <w:t xml:space="preserve"> </w:t>
      </w: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- the fraction of drug removed during a single pass</w:t>
      </w:r>
      <w:r>
        <w:t xml:space="preserve"> </w:t>
      </w:r>
      <w:r>
        <w:t xml:space="preserve">through the liver - which is the ratio of the predicted hepatic clearance to</w:t>
      </w:r>
      <w:r>
        <w:t xml:space="preserve"> </w:t>
      </w:r>
      <w:r>
        <w:t xml:space="preserve">the hepatic blood flow: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h</m:t>
                  </m:r>
                  <m:r>
                    <m:t>e</m:t>
                  </m:r>
                  <m:r>
                    <m:t>p</m:t>
                  </m:r>
                  <m:r>
                    <m:t>a</m:t>
                  </m:r>
                  <m:r>
                    <m:t>t</m:t>
                  </m:r>
                  <m:r>
                    <m:t>i</m:t>
                  </m:r>
                  <m:r>
                    <m:t>c</m:t>
                  </m:r>
                </m:sub>
              </m:sSub>
            </m:num>
            <m:den>
              <m:sSub>
                <m:e>
                  <m:r>
                    <m:t>Q</m:t>
                  </m:r>
                </m:e>
                <m:sub>
                  <m:r>
                    <m:t>h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u</m:t>
                  </m:r>
                  <m:r>
                    <m:t>m</m:t>
                  </m:r>
                  <m:r>
                    <m:t>a</m:t>
                  </m:r>
                  <m:r>
                    <m:t>n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A compound with high metabolic clearance relative to liver blood flow (</w:t>
      </w:r>
      <m:oMath>
        <m:sSub>
          <m:e>
            <m:r>
              <m:t>E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close to 1) will be substantially extracted on its first pass, greatly</w:t>
      </w:r>
      <w:r>
        <w:t xml:space="preserve"> </w:t>
      </w:r>
      <w:r>
        <w:t xml:space="preserve">reducing oral bioavailability (</w:t>
      </w:r>
      <m:oMath>
        <m:sSub>
          <m:e>
            <m:r>
              <m:t>F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close to 0).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bCs/>
          <w:b/>
        </w:rPr>
        <w:t xml:space="preserve">LAI (long-acting injectable)</w:t>
      </w:r>
      <w:r>
        <w:t xml:space="preserve"> </w:t>
      </w:r>
      <w:r>
        <w:t xml:space="preserve">dosing, drug is absorbed directly from</w:t>
      </w:r>
      <w:r>
        <w:t xml:space="preserve"> </w:t>
      </w:r>
      <w:r>
        <w:t xml:space="preserve">the injection depot into the bloodstream, so it does not encounter the gut</w:t>
      </w:r>
      <w:r>
        <w:t xml:space="preserve"> </w:t>
      </w:r>
      <w:r>
        <w:t xml:space="preserve">wall or first-pass hepatic metabolism. This does not mean that LAI</w:t>
      </w:r>
      <w:r>
        <w:t xml:space="preserve"> </w:t>
      </w:r>
      <w:r>
        <w:t xml:space="preserve">bioavailability is complete, however: drug can still be lost at the</w:t>
      </w:r>
      <w:r>
        <w:t xml:space="preserve"> </w:t>
      </w:r>
      <w:r>
        <w:t xml:space="preserve">injection site, for example through local metabolism (muscle tissue contains</w:t>
      </w:r>
      <w:r>
        <w:t xml:space="preserve"> </w:t>
      </w:r>
      <w:r>
        <w:t xml:space="preserve">fewer metabolic enzymes than the liver, but is not devoid of them), through</w:t>
      </w:r>
      <w:r>
        <w:t xml:space="preserve"> </w:t>
      </w:r>
      <w:r>
        <w:t xml:space="preserve">clearance by macrophages recruited as part of the local inflammatory</w:t>
      </w:r>
      <w:r>
        <w:t xml:space="preserve"> </w:t>
      </w:r>
      <w:r>
        <w:t xml:space="preserve">response to the injection, or through incomplete dissolution of the</w:t>
      </w:r>
      <w:r>
        <w:t xml:space="preserve"> </w:t>
      </w:r>
      <w:r>
        <w:t xml:space="preserve">formulation. MMVSola does not model these loss processes mechanistically;</w:t>
      </w:r>
      <w:r>
        <w:t xml:space="preserve"> </w:t>
      </w:r>
      <w:r>
        <w:t xml:space="preserve">instead, the user enters the overall LAI bioavailability directly as the</w:t>
      </w:r>
      <w:r>
        <w:t xml:space="preserve"> </w:t>
      </w:r>
      <w:r>
        <w:rPr>
          <w:bCs/>
          <w:b/>
        </w:rPr>
        <w:t xml:space="preserve">fraction absorbed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F</m:t>
              </m:r>
            </m:e>
            <m:sub>
              <m:r>
                <m:t>a</m:t>
              </m:r>
              <m:r>
                <m:t>b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t>A</m:t>
              </m:r>
              <m:r>
                <m:t>I</m:t>
              </m:r>
            </m:sub>
          </m:sSub>
          <m:r>
            <m:rPr>
              <m:sty m:val="p"/>
            </m:rPr>
            <m:t>=</m:t>
          </m:r>
          <m:sSub>
            <m:e>
              <m:r>
                <m:t>F</m:t>
              </m:r>
            </m:e>
            <m:sub>
              <m:r>
                <m:t>L</m:t>
              </m:r>
              <m:r>
                <m:t>A</m:t>
              </m:r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The default value is 0.8 (80%) for both fast and slow LAI formulations,</w:t>
      </w:r>
      <w:r>
        <w:t xml:space="preserve"> </w:t>
      </w:r>
      <w:r>
        <w:t xml:space="preserve">adjustable in the Simulation Parameters input group.</w:t>
      </w:r>
    </w:p>
    <w:p>
      <w:r>
        <w:pict>
          <v:rect style="width:0;height:1.5pt" o:hralign="center" o:hrstd="t" o:hr="t"/>
        </w:pict>
      </w:r>
    </w:p>
    <w:bookmarkEnd w:id="112"/>
    <w:bookmarkStart w:id="113" w:name="absorption-rate"/>
    <w:p>
      <w:pPr>
        <w:pStyle w:val="Heading3"/>
      </w:pPr>
      <w:r>
        <w:rPr>
          <w:rStyle w:val="SectionNumber"/>
        </w:rPr>
        <w:t xml:space="preserve">2.2.2</w:t>
      </w:r>
      <w:r>
        <w:tab/>
      </w:r>
      <w:r>
        <w:t xml:space="preserve">Absorption Rate</w:t>
      </w:r>
    </w:p>
    <w:p>
      <w:pPr>
        <w:pStyle w:val="FirstParagraph"/>
      </w:pPr>
      <w:r>
        <w:t xml:space="preserve">The absorption rate constant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(units: 1/h) governs how quickly drug moves</w:t>
      </w:r>
      <w:r>
        <w:t xml:space="preserve"> </w:t>
      </w:r>
      <w:r>
        <w:t xml:space="preserve">from its absorption site into the bloodstream. A higher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produces faster</w:t>
      </w:r>
      <w:r>
        <w:t xml:space="preserve"> </w:t>
      </w:r>
      <w:r>
        <w:t xml:space="preserve">absorption and an earlier, sharper peak concentration.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bCs/>
          <w:b/>
        </w:rPr>
        <w:t xml:space="preserve">oral</w:t>
      </w:r>
      <w:r>
        <w:t xml:space="preserve"> </w:t>
      </w:r>
      <w:r>
        <w:t xml:space="preserve">dosing the default is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/h (absorption half-life ≈ 42 min).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dosing, absorption from the injection depot is expected to be far slower than for</w:t>
      </w:r>
      <w:r>
        <w:t xml:space="preserve"> </w:t>
      </w:r>
      <w:r>
        <w:t xml:space="preserve">oral. Two reference values based on published human pharmacokinetics are</w:t>
      </w:r>
      <w:r>
        <w:t xml:space="preserve"> </w:t>
      </w:r>
      <w:r>
        <w:t xml:space="preserve">provided: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LAI fast</w:t>
      </w:r>
      <w:r>
        <w:t xml:space="preserve"> </w:t>
      </w:r>
      <w:r>
        <w:t xml:space="preserve">(default: 0.00298 /h, absorption half-life ≈ 9.7 days):</w:t>
      </w:r>
      <w:r>
        <w:t xml:space="preserve"> </w:t>
      </w:r>
      <w:r>
        <w:t xml:space="preserve">derived from medroxyprogesterone acetate in humans, the fastest known</w:t>
      </w:r>
      <w:r>
        <w:t xml:space="preserve"> </w:t>
      </w:r>
      <w:r>
        <w:t xml:space="preserve">absorbable aqueous intramuscular suspension.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LAI slow</w:t>
      </w:r>
      <w:r>
        <w:t xml:space="preserve"> </w:t>
      </w:r>
      <w:r>
        <w:t xml:space="preserve">(default: 0.000208 /h, absorption half-life ≈ 139 days):</w:t>
      </w:r>
      <w:r>
        <w:t xml:space="preserve"> </w:t>
      </w:r>
      <w:r>
        <w:t xml:space="preserve">derived from levonorgestrel butanoate in humans, the slowest known absorbable aqueous</w:t>
      </w:r>
      <w:r>
        <w:t xml:space="preserve"> </w:t>
      </w:r>
      <w:r>
        <w:t xml:space="preserve">intramuscular suspension.</w:t>
      </w:r>
    </w:p>
    <w:p>
      <w:pPr>
        <w:pStyle w:val="FirstParagraph"/>
      </w:pPr>
      <w:r>
        <w:t xml:space="preserve">If rat or dog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values from IM pharmacokinetic studies are available, these</w:t>
      </w:r>
      <w:r>
        <w:t xml:space="preserve"> </w:t>
      </w:r>
      <w:r>
        <w:t xml:space="preserve">can be entered in the Simulation Parameters input group. Animal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values from IM</w:t>
      </w:r>
      <w:r>
        <w:t xml:space="preserve"> </w:t>
      </w:r>
      <w:r>
        <w:t xml:space="preserve">studies are typically estimated by assuming</w:t>
      </w:r>
      <w:r>
        <w:t xml:space="preserve"> </w:t>
      </w:r>
      <w:r>
        <w:rPr>
          <w:bCs/>
          <w:b/>
        </w:rPr>
        <w:t xml:space="preserve">flip-flop kinetics</w:t>
      </w:r>
      <w:r>
        <w:t xml:space="preserve">: when</w:t>
      </w:r>
      <w:r>
        <w:t xml:space="preserve"> </w:t>
      </w:r>
      <w:r>
        <w:t xml:space="preserve">absorption is slower than elimination - as is almost always the case for LAI</w:t>
      </w:r>
      <w:r>
        <w:t xml:space="preserve"> </w:t>
      </w:r>
      <w:r>
        <w:t xml:space="preserve">formulations - the terminal slope of the log-concentration vs. time profile</w:t>
      </w:r>
      <w:r>
        <w:t xml:space="preserve"> </w:t>
      </w:r>
      <w:r>
        <w:t xml:space="preserve">after IM dosing reflects the absorption rate rather than elimination. In this</w:t>
      </w:r>
      <w:r>
        <w:t xml:space="preserve"> </w:t>
      </w:r>
      <w:r>
        <w:t xml:space="preserve">situation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  <m:r>
          <m:rPr>
            <m:sty m:val="p"/>
          </m:rPr>
          <m:t>≈</m:t>
        </m:r>
        <m:sSub>
          <m:e>
            <m:r>
              <m:t>λ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(the observed terminal rate constant from the</w:t>
      </w:r>
      <w:r>
        <w:t xml:space="preserve"> </w:t>
      </w:r>
      <w:r>
        <w:t xml:space="preserve">IM PK profile). Alternatively,</w:t>
      </w:r>
      <w:r>
        <w:t xml:space="preserve"> 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can be estimated by fitting a population</w:t>
      </w:r>
      <w:r>
        <w:t xml:space="preserve"> </w:t>
      </w:r>
      <w:r>
        <w:t xml:space="preserve">PK model to the animal data.</w:t>
      </w:r>
    </w:p>
    <w:p>
      <w:r>
        <w:pict>
          <v:rect style="width:0;height:1.5pt" o:hralign="center" o:hrstd="t" o:hr="t"/>
        </w:pict>
      </w:r>
    </w:p>
    <w:bookmarkEnd w:id="113"/>
    <w:bookmarkStart w:id="120" w:name="clearance"/>
    <w:p>
      <w:pPr>
        <w:pStyle w:val="Heading3"/>
      </w:pPr>
      <w:r>
        <w:rPr>
          <w:rStyle w:val="SectionNumber"/>
        </w:rPr>
        <w:t xml:space="preserve">2.2.3</w:t>
      </w:r>
      <w:r>
        <w:tab/>
      </w:r>
      <w:r>
        <w:t xml:space="preserve">Clearance</w:t>
      </w:r>
    </w:p>
    <w:p>
      <w:pPr>
        <w:pStyle w:val="FirstParagraph"/>
      </w:pPr>
      <w:r>
        <w:t xml:space="preserve">Clearance describes how efficiently the body removes drug from plasma.</w:t>
      </w:r>
      <w:r>
        <w:t xml:space="preserve"> </w:t>
      </w:r>
      <w:r>
        <w:t xml:space="preserve">MMVSola offers three methods, selectable in the Basic Parameters tab: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 Vitro In Vivo Extrapolation IVIVE</w:t>
      </w:r>
      <w:r>
        <w:t xml:space="preserve"> </w:t>
      </w:r>
      <w:r>
        <w:t xml:space="preserve">(default): clearance predicted from in vitro metabolic data via</w:t>
      </w:r>
      <w:r>
        <w:t xml:space="preserve"> </w:t>
      </w:r>
      <w:r>
        <w:t xml:space="preserve">in vitro-in vivo extrapolation.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Allometry</w:t>
      </w:r>
      <w:r>
        <w:t xml:space="preserve">: clearance predicted from in vivo animal PK data by scaling</w:t>
      </w:r>
      <w:r>
        <w:t xml:space="preserve"> </w:t>
      </w:r>
      <w:r>
        <w:t xml:space="preserve">across species.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IVIVE + Allometry</w:t>
      </w:r>
      <w:r>
        <w:t xml:space="preserve">: the geometric mean of both predictions, provided the</w:t>
      </w:r>
      <w:r>
        <w:t xml:space="preserve"> </w:t>
      </w:r>
      <w:r>
        <w:t xml:space="preserve">allometric scaling produces a plausible result.</w:t>
      </w:r>
    </w:p>
    <w:bookmarkStart w:id="114" w:name="X31325fc5ef1c7dc2b83fb442f5eea1b6e7c6b15"/>
    <w:p>
      <w:pPr>
        <w:pStyle w:val="Heading4"/>
      </w:pPr>
      <w:r>
        <w:rPr>
          <w:rStyle w:val="SectionNumber"/>
        </w:rPr>
        <w:t xml:space="preserve">2.2.3.1</w:t>
      </w:r>
      <w:r>
        <w:tab/>
      </w:r>
      <w:r>
        <w:t xml:space="preserve">Step 1: Scaling in vitro intrinsic clearance to whole-liver units</w:t>
      </w:r>
    </w:p>
    <w:p>
      <w:pPr>
        <w:pStyle w:val="FirstParagraph"/>
      </w:pPr>
      <w:r>
        <w:t xml:space="preserve">The starting point for IVIVE is the</w:t>
      </w:r>
      <w:r>
        <w:t xml:space="preserve"> </w:t>
      </w:r>
      <w:r>
        <w:rPr>
          <w:bCs/>
          <w:b/>
        </w:rPr>
        <w:t xml:space="preserve">intrinsic clearance</w:t>
      </w:r>
      <w:r>
        <w:t xml:space="preserve"> </w:t>
      </w:r>
      <w:r>
        <w:t xml:space="preserve">(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</m:sub>
        </m:sSub>
      </m:oMath>
      <w:r>
        <w:t xml:space="preserve">)</w:t>
      </w:r>
      <w:r>
        <w:t xml:space="preserve"> </w:t>
      </w:r>
      <w:r>
        <w:t xml:space="preserve">measured in isolated hepatocytes or liver microsomes. This value must be scaled</w:t>
      </w:r>
      <w:r>
        <w:t xml:space="preserve"> </w:t>
      </w:r>
      <w:r>
        <w:t xml:space="preserve">up to represent the metabolic capacity of the whole liver per kilogram of</w:t>
      </w:r>
      <w:r>
        <w:t xml:space="preserve"> </w:t>
      </w:r>
      <w:r>
        <w:t xml:space="preserve">body weight. Only the unbound fraction of drug can interact with metabolic</w:t>
      </w:r>
      <w:r>
        <w:t xml:space="preserve"> </w:t>
      </w:r>
      <w:r>
        <w:t xml:space="preserve">enzymes, so the scaling divides by the unbound fraction in the assay</w:t>
      </w:r>
      <w:r>
        <w:t xml:space="preserve"> </w:t>
      </w:r>
      <w:r>
        <w:t xml:space="preserve">(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a</m:t>
            </m:r>
            <m:r>
              <m:t>s</m:t>
            </m:r>
            <m:r>
              <m:t>s</m:t>
            </m:r>
            <m:r>
              <m:t>a</m:t>
            </m:r>
            <m:r>
              <m:t>y</m:t>
            </m:r>
          </m:sub>
        </m:sSub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i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,</m:t>
              </m:r>
              <m:r>
                <m:t>u</m:t>
              </m:r>
              <m:r>
                <m:rPr>
                  <m:sty m:val="p"/>
                </m:rPr>
                <m:t>,</m:t>
              </m:r>
              <m:r>
                <m:t>s</m:t>
              </m:r>
              <m:r>
                <m:t>c</m:t>
              </m:r>
              <m:r>
                <m:t>a</m:t>
              </m:r>
              <m:r>
                <m:t>l</m:t>
              </m:r>
              <m:r>
                <m:t>e</m:t>
              </m:r>
              <m:r>
                <m:t>d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</m:sub>
              </m:sSub>
              <m:r>
                <m:rPr>
                  <m:sty m:val="p"/>
                </m:rPr>
                <m:t>×</m:t>
              </m:r>
              <m:sSub>
                <m:e>
                  <m:r>
                    <m:t>S</m:t>
                  </m:r>
                </m:e>
                <m:sub>
                  <m:r>
                    <m:t>F</m:t>
                  </m:r>
                </m:sub>
              </m:sSub>
              <m:r>
                <m:rPr>
                  <m:sty m:val="p"/>
                </m:rPr>
                <m:t>×</m:t>
              </m:r>
              <m:r>
                <m:t>L</m:t>
              </m:r>
              <m:r>
                <m:t>W</m:t>
              </m:r>
            </m:num>
            <m:den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t>s</m:t>
                  </m:r>
                  <m:r>
                    <m:t>s</m:t>
                  </m:r>
                  <m:r>
                    <m:t>a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×</m:t>
              </m:r>
              <m:r>
                <m:t>1000</m:t>
              </m:r>
            </m:den>
          </m:f>
        </m:oMath>
      </m:oMathPara>
    </w:p>
    <w:p>
      <w:pPr>
        <w:pStyle w:val="FirstParagraph"/>
      </w:pPr>
      <w:r>
        <w:t xml:space="preserve">Here</w:t>
      </w:r>
      <w:r>
        <w:t xml:space="preserve"> </w:t>
      </w:r>
      <m:oMath>
        <m:sSub>
          <m:e>
            <m:r>
              <m:t>S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is the scaling factor (10</w:t>
      </w:r>
      <w:r>
        <w:rPr>
          <w:vertAlign w:val="superscript"/>
        </w:rPr>
        <w:t xml:space="preserve">6</w:t>
      </w:r>
      <w:r>
        <w:t xml:space="preserve"> </w:t>
      </w:r>
      <w:r>
        <w:t xml:space="preserve">cells/g liver for hepatocytes; mg</w:t>
      </w:r>
      <w:r>
        <w:t xml:space="preserve"> </w:t>
      </w:r>
      <w:r>
        <w:t xml:space="preserve">protein/g liver for microsomes),</w:t>
      </w:r>
      <w:r>
        <w:t xml:space="preserve"> </w:t>
      </w:r>
      <m:oMath>
        <m:r>
          <m:t>L</m:t>
        </m:r>
        <m:r>
          <m:t>W</m:t>
        </m:r>
      </m:oMath>
      <w:r>
        <w:t xml:space="preserve"> </w:t>
      </w:r>
      <w:r>
        <w:t xml:space="preserve">is the liver weight in g/kg body weight,</w:t>
      </w:r>
      <w:r>
        <w:t xml:space="preserve"> </w:t>
      </w:r>
      <w:r>
        <w:t xml:space="preserve">and the factor of 1000 converts µL to mL. The default physiological values for</w:t>
      </w:r>
      <w:r>
        <w:t xml:space="preserve"> </w:t>
      </w:r>
      <m:oMath>
        <m:sSub>
          <m:e>
            <m:r>
              <m:t>S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t>W</m:t>
        </m:r>
      </m:oMath>
      <w:r>
        <w:t xml:space="preserve"> </w:t>
      </w:r>
      <w:r>
        <w:t xml:space="preserve">are given in Section</w:t>
      </w:r>
      <w:r>
        <w:t xml:space="preserve"> </w:t>
      </w:r>
      <w:r>
        <w:t xml:space="preserve">2.4</w:t>
      </w:r>
      <w:r>
        <w:t xml:space="preserve">.</w:t>
      </w:r>
    </w:p>
    <w:p>
      <w:pPr>
        <w:pStyle w:val="BodyText"/>
      </w:pPr>
      <w:r>
        <w:t xml:space="preserve">If no measured unbound fraction in the assay is available, MMVSola predicts it</w:t>
      </w:r>
      <w:r>
        <w:t xml:space="preserve"> </w:t>
      </w:r>
      <w:r>
        <w:t xml:space="preserve">as one of several default values derived from whichever inputs are available</w:t>
      </w:r>
      <w:r>
        <w:t xml:space="preserve"> </w:t>
      </w:r>
      <w:r>
        <w:t xml:space="preserve">(e.g. LogD, plasma binding, or binding measured in the other assay type) - see</w:t>
      </w:r>
      <w:r>
        <w:t xml:space="preserve"> </w:t>
      </w:r>
      <w:r>
        <w:t xml:space="preserve">Section</w:t>
      </w:r>
      <w:r>
        <w:t xml:space="preserve"> </w:t>
      </w:r>
      <w:r>
        <w:t xml:space="preserve">5.2</w:t>
      </w:r>
      <w:r>
        <w:t xml:space="preserve"> </w:t>
      </w:r>
      <w:r>
        <w:t xml:space="preserve">for how these default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</m:sub>
        </m:sSub>
      </m:oMath>
      <w:r>
        <w:t xml:space="preserve"> </w:t>
      </w:r>
      <w:r>
        <w:t xml:space="preserve">values are derived.</w:t>
      </w:r>
    </w:p>
    <w:bookmarkEnd w:id="114"/>
    <w:bookmarkStart w:id="115" w:name="Xa5faf4b6377a3fcea569df51731762505d89c48"/>
    <w:p>
      <w:pPr>
        <w:pStyle w:val="Heading4"/>
      </w:pPr>
      <w:r>
        <w:rPr>
          <w:rStyle w:val="SectionNumber"/>
        </w:rPr>
        <w:t xml:space="preserve">2.2.3.2</w:t>
      </w:r>
      <w:r>
        <w:tab/>
      </w:r>
      <w:r>
        <w:t xml:space="preserve">Step 2: Hepatic plasma clearance via the well-stirred liver model</w:t>
      </w:r>
    </w:p>
    <w:p>
      <w:pPr>
        <w:pStyle w:val="FirstParagraph"/>
      </w:pPr>
      <w:r>
        <w:t xml:space="preserve">The scaled unbound intrinsic clearance is converted to hepatic</w:t>
      </w:r>
      <w:r>
        <w:t xml:space="preserve"> </w:t>
      </w:r>
      <w:r>
        <w:rPr>
          <w:bCs/>
          <w:b/>
        </w:rPr>
        <w:t xml:space="preserve">plasma</w:t>
      </w:r>
      <w:r>
        <w:t xml:space="preserve"> </w:t>
      </w:r>
      <w:r>
        <w:t xml:space="preserve">clearance using the well-stirred (venous equilibration) liver model. This model</w:t>
      </w:r>
      <w:r>
        <w:t xml:space="preserve"> </w:t>
      </w:r>
      <w:r>
        <w:t xml:space="preserve">captures the interplay between the drug’s metabolic rate, its plasma protein</w:t>
      </w:r>
      <w:r>
        <w:t xml:space="preserve"> </w:t>
      </w:r>
      <w:r>
        <w:t xml:space="preserve">binding, its partitioning between blood cells and plasma, and the rate at which</w:t>
      </w:r>
      <w:r>
        <w:t xml:space="preserve"> </w:t>
      </w:r>
      <w:r>
        <w:t xml:space="preserve">blood flows through the liver: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h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=</m:t>
          </m:r>
          <m:r>
            <m:t>B</m:t>
          </m:r>
          <m:r>
            <m:t>​</m:t>
          </m:r>
          <m:r>
            <m:rPr>
              <m:sty m:val="p"/>
            </m:rPr>
            <m:t>:</m:t>
          </m:r>
          <m:r>
            <m:t>​</m:t>
          </m:r>
          <m:r>
            <m:t>P</m:t>
          </m:r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  <m:r>
                <m:rPr>
                  <m:sty m:val="p"/>
                </m:rPr>
                <m:t>×</m:t>
              </m:r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sSub>
                    <m:e>
                      <m:r>
                        <m:t>f</m:t>
                      </m:r>
                    </m:e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p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m</m:t>
                      </m:r>
                      <m:r>
                        <m:t>a</m:t>
                      </m:r>
                    </m:sub>
                  </m:sSub>
                </m:num>
                <m:den>
                  <m:r>
                    <m:t>B</m:t>
                  </m:r>
                  <m:r>
                    <m:t>​</m:t>
                  </m:r>
                  <m:r>
                    <m:rPr>
                      <m:sty m:val="p"/>
                    </m:rPr>
                    <m:t>:</m:t>
                  </m:r>
                  <m:r>
                    <m:t>​</m:t>
                  </m:r>
                  <m:r>
                    <m:t>P</m:t>
                  </m:r>
                </m:den>
              </m:f>
            </m:num>
            <m:den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n</m:t>
                  </m:r>
                  <m:r>
                    <m:t>t</m:t>
                  </m:r>
                  <m:r>
                    <m:rPr>
                      <m:sty m:val="p"/>
                    </m:rPr>
                    <m:t>,</m:t>
                  </m:r>
                  <m:r>
                    <m:t>u</m:t>
                  </m:r>
                </m:sub>
              </m:sSub>
              <m:r>
                <m:rPr>
                  <m:sty m:val="p"/>
                </m:rPr>
                <m:t>×</m:t>
              </m:r>
              <m:f>
                <m:fPr>
                  <m:type m:val="bar"/>
                </m:fPr>
                <m:num>
                  <m:sSub>
                    <m:e>
                      <m:r>
                        <m:t>f</m:t>
                      </m:r>
                    </m:e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p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m</m:t>
                      </m:r>
                      <m:r>
                        <m:t>a</m:t>
                      </m:r>
                    </m:sub>
                  </m:sSub>
                </m:num>
                <m:den>
                  <m:r>
                    <m:t>B</m:t>
                  </m:r>
                  <m:r>
                    <m:t>​</m:t>
                  </m:r>
                  <m:r>
                    <m:rPr>
                      <m:sty m:val="p"/>
                    </m:rPr>
                    <m:t>:</m:t>
                  </m:r>
                  <m:r>
                    <m:t>​</m:t>
                  </m:r>
                  <m:r>
                    <m:t>P</m:t>
                  </m:r>
                </m:den>
              </m:f>
              <m:r>
                <m:rPr>
                  <m:sty m:val="p"/>
                </m:rPr>
                <m:t>+</m:t>
              </m:r>
              <m:sSub>
                <m:e>
                  <m:r>
                    <m:t>Q</m:t>
                  </m:r>
                </m:e>
                <m:sub>
                  <m:r>
                    <m:t>h</m:t>
                  </m:r>
                </m:sub>
              </m:sSub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is the hepatic blood flow,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 </w:t>
      </w:r>
      <w:r>
        <w:t xml:space="preserve">is the plasma unbound</w:t>
      </w:r>
      <w:r>
        <w:t xml:space="preserve"> </w:t>
      </w:r>
      <w:r>
        <w:t xml:space="preserve">fraction, and</w:t>
      </w:r>
      <w:r>
        <w:t xml:space="preserve"> </w:t>
      </w:r>
      <m:oMath>
        <m:r>
          <m:t>B</m:t>
        </m:r>
        <m:r>
          <m:t>​</m:t>
        </m:r>
        <m:r>
          <m:rPr>
            <m:sty m:val="p"/>
          </m:rPr>
          <m:t>:</m:t>
        </m:r>
        <m:r>
          <m:t>​</m:t>
        </m:r>
        <m:r>
          <m:t>P</m:t>
        </m:r>
      </m:oMath>
      <w:r>
        <w:t xml:space="preserve"> </w:t>
      </w:r>
      <w:r>
        <w:t xml:space="preserve">is the blood-to-plasma ratio. For a highly bound</w:t>
      </w:r>
      <w:r>
        <w:t xml:space="preserve"> </w:t>
      </w:r>
      <w:r>
        <w:t xml:space="preserve">compound with very low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, only a small fraction of the drug in</w:t>
      </w:r>
      <w:r>
        <w:t xml:space="preserve"> </w:t>
      </w:r>
      <w:r>
        <w:t xml:space="preserve">blood is accessible for metabolism, and predicted clearance will be low</w:t>
      </w:r>
      <w:r>
        <w:t xml:space="preserve"> </w:t>
      </w:r>
      <w:r>
        <w:t xml:space="preserve">regardless of the intrinsic metabolic rate. For a high-clearance compound where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  <m:r>
          <m:rPr>
            <m:sty m:val="p"/>
          </m:rPr>
          <m:t>≫</m:t>
        </m:r>
        <m:sSub>
          <m:e>
            <m:r>
              <m:t>Q</m:t>
            </m:r>
          </m:e>
          <m:sub>
            <m:r>
              <m:t>h</m:t>
            </m:r>
          </m:sub>
        </m:sSub>
      </m:oMath>
      <w:r>
        <w:t xml:space="preserve">, the predicted clearance approaches the hepatic blood flow</w:t>
      </w:r>
      <w:r>
        <w:t xml:space="preserve"> </w:t>
      </w:r>
      <w:r>
        <w:t xml:space="preserve">(the liver extracts nearly all drug presented to it).</w:t>
      </w:r>
    </w:p>
    <w:p>
      <w:pPr>
        <w:pStyle w:val="BodyText"/>
      </w:pPr>
      <w:r>
        <w:t xml:space="preserve">The predicted plasma clearance is provided in the Human PK parameters table of the Prediction tab.</w:t>
      </w:r>
    </w:p>
    <w:bookmarkEnd w:id="115"/>
    <w:bookmarkStart w:id="116" w:name="step-3-ivive-correction"/>
    <w:p>
      <w:pPr>
        <w:pStyle w:val="Heading4"/>
      </w:pPr>
      <w:r>
        <w:rPr>
          <w:rStyle w:val="SectionNumber"/>
        </w:rPr>
        <w:t xml:space="preserve">2.2.3.3</w:t>
      </w:r>
      <w:r>
        <w:tab/>
      </w:r>
      <w:r>
        <w:t xml:space="preserve">Step 3: IVIVE correction</w:t>
      </w:r>
    </w:p>
    <w:p>
      <w:pPr>
        <w:pStyle w:val="FirstParagraph"/>
      </w:pPr>
      <w:r>
        <w:t xml:space="preserve">In vitro metabolic assays systematically under- or over-predict in vivo</w:t>
      </w:r>
      <w:r>
        <w:t xml:space="preserve"> </w:t>
      </w:r>
      <w:r>
        <w:t xml:space="preserve">clearance. To correct for this, MMVSola uses paired animal data: for each</w:t>
      </w:r>
      <w:r>
        <w:t xml:space="preserve"> </w:t>
      </w:r>
      <w:r>
        <w:t xml:space="preserve">preclinical species where both in vitro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</m:sub>
        </m:sSub>
      </m:oMath>
      <w:r>
        <w:t xml:space="preserve"> </w:t>
      </w:r>
      <w:r>
        <w:t xml:space="preserve">and in vivo hepatic plasma</w:t>
      </w:r>
      <w:r>
        <w:t xml:space="preserve"> </w:t>
      </w:r>
      <w:r>
        <w:t xml:space="preserve">clearance are available, an</w:t>
      </w:r>
      <w:r>
        <w:t xml:space="preserve"> </w:t>
      </w:r>
      <w:r>
        <w:rPr>
          <w:bCs/>
          <w:b/>
        </w:rPr>
        <w:t xml:space="preserve">IVIV correction factor</w:t>
      </w:r>
      <w:r>
        <w:t xml:space="preserve"> </w:t>
      </w:r>
      <w:r>
        <w:t xml:space="preserve">is calculated as the</w:t>
      </w:r>
      <w:r>
        <w:t xml:space="preserve"> </w:t>
      </w:r>
      <w:r>
        <w:t xml:space="preserve">ratio of the back-calculated in vivo unbound intrinsic clearance (derived from</w:t>
      </w:r>
      <w:r>
        <w:t xml:space="preserve"> </w:t>
      </w:r>
      <w:r>
        <w:t xml:space="preserve">the measured in vivo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h</m:t>
            </m:r>
          </m:sub>
        </m:sSub>
      </m:oMath>
      <w:r>
        <w:t xml:space="preserve"> </w:t>
      </w:r>
      <w:r>
        <w:t xml:space="preserve">via the well-stirred model) to the in vitro</w:t>
      </w:r>
      <w:r>
        <w:t xml:space="preserve"> </w:t>
      </w:r>
      <w:r>
        <w:t xml:space="preserve">unbound intrinsic clearance. The geometric mean of this factor across available</w:t>
      </w:r>
      <w:r>
        <w:t xml:space="preserve"> </w:t>
      </w:r>
      <w:r>
        <w:t xml:space="preserve">species is then applied to the human in vitro</w:t>
      </w:r>
      <w:r>
        <w:t xml:space="preserve"> </w:t>
      </w:r>
      <m:oMath>
        <m:r>
          <m:t>C</m:t>
        </m:r>
        <m:sSub>
          <m:e>
            <m:r>
              <m:t>L</m:t>
            </m:r>
          </m:e>
          <m:sub>
            <m:r>
              <m:t>i</m:t>
            </m:r>
            <m:r>
              <m:t>n</m:t>
            </m:r>
            <m:r>
              <m:t>t</m:t>
            </m:r>
            <m:r>
              <m:rPr>
                <m:sty m:val="p"/>
              </m:rPr>
              <m:t>,</m:t>
            </m:r>
            <m:r>
              <m:t>u</m:t>
            </m:r>
          </m:sub>
        </m:sSub>
      </m:oMath>
      <w:r>
        <w:t xml:space="preserve"> </w:t>
      </w:r>
      <w:r>
        <w:t xml:space="preserve">before predicting</w:t>
      </w:r>
      <w:r>
        <w:t xml:space="preserve"> </w:t>
      </w:r>
      <w:r>
        <w:t xml:space="preserve">human hepatic clearance.</w:t>
      </w:r>
    </w:p>
    <w:p>
      <w:pPr>
        <w:pStyle w:val="BodyText"/>
      </w:pPr>
      <w:r>
        <w:t xml:space="preserve">The exact correction procedure depends on whether per-species</w:t>
      </w:r>
      <w:r>
        <w:t xml:space="preserve"> </w:t>
      </w:r>
      <w:r>
        <w:rPr>
          <w:bCs/>
          <w:b/>
        </w:rPr>
        <w:t xml:space="preserve">regression</w:t>
      </w:r>
      <w:r>
        <w:rPr>
          <w:bCs/>
          <w:b/>
        </w:rPr>
        <w:t xml:space="preserve"> </w:t>
      </w:r>
      <w:r>
        <w:rPr>
          <w:bCs/>
          <w:b/>
        </w:rPr>
        <w:t xml:space="preserve">correction parameters</w:t>
      </w:r>
      <w:r>
        <w:t xml:space="preserve"> </w:t>
      </w:r>
      <w:r>
        <w:t xml:space="preserve">(a slope and intercept that characterise the systematic</w:t>
      </w:r>
      <w:r>
        <w:t xml:space="preserve"> </w:t>
      </w:r>
      <w:r>
        <w:t xml:space="preserve">bias of a specific laboratory’s assay) have been entered in the Advanced</w:t>
      </w:r>
      <w:r>
        <w:t xml:space="preserve"> </w:t>
      </w:r>
      <w:r>
        <w:t xml:space="preserve">Parameters tab. Four cases are handled: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27"/>
        <w:gridCol w:w="3350"/>
        <w:gridCol w:w="274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 regression data for any species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 the geometric mean IVIV factor from animal in vivo / in vitro CL</w:t>
            </w:r>
            <w:r>
              <w:rPr>
                <w:vertAlign w:val="subscript"/>
              </w:rPr>
              <w:t xml:space="preserve">int,u</w:t>
            </w:r>
            <w:r>
              <w:t xml:space="preserve"> </w:t>
            </w:r>
            <w:r>
              <w:t xml:space="preserve">ratios and multiply the human in vitro CL</w:t>
            </w:r>
            <w:r>
              <w:rPr>
                <w:vertAlign w:val="subscript"/>
              </w:rPr>
              <w:t xml:space="preserve">int,u</w:t>
            </w:r>
            <w:r>
              <w:t xml:space="preserve"> </w:t>
            </w:r>
            <w:r>
              <w:t xml:space="preserve">by this factor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Regression data available for all species (human and all animals)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Apply regression correction to all species; compute the IVIV factor from the regression-corrected animal data; multiply the regression-corrected human CL</w:t>
            </w:r>
            <w:r>
              <w:rPr>
                <w:vertAlign w:val="subscript"/>
              </w:rPr>
              <w:t xml:space="preserve">int,u</w:t>
            </w:r>
            <w:r>
              <w:t xml:space="preserve"> </w:t>
            </w:r>
            <w:r>
              <w:t xml:space="preserve">by this geometric mean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Regression data available for human only (not for animals)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 two corrections:</w:t>
            </w:r>
            <w:r>
              <w:t xml:space="preserve"> </w:t>
            </w:r>
            <w:r>
              <w:rPr>
                <w:iCs/>
                <w:i/>
              </w:rPr>
              <w:t xml:space="preserve">Y</w:t>
            </w:r>
            <w:r>
              <w:t xml:space="preserve"> </w:t>
            </w:r>
            <w:r>
              <w:t xml:space="preserve">= human regression factor;</w:t>
            </w:r>
            <w:r>
              <w:t xml:space="preserve"> </w:t>
            </w:r>
            <w:r>
              <w:rPr>
                <w:iCs/>
                <w:i/>
              </w:rPr>
              <w:t xml:space="preserve">X</w:t>
            </w:r>
            <w:r>
              <w:t xml:space="preserve"> </w:t>
            </w:r>
            <w:r>
              <w:t xml:space="preserve">= geometric mean IVIV factor from uncorrected animal data. Apply the larger of</w:t>
            </w:r>
            <w:r>
              <w:t xml:space="preserve"> </w:t>
            </w:r>
            <w:r>
              <w:rPr>
                <w:iCs/>
                <w:i/>
              </w:rPr>
              <w:t xml:space="preserve">X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iCs/>
                <w:i/>
              </w:rPr>
              <w:t xml:space="preserve">Y</w:t>
            </w:r>
            <w:r>
              <w:t xml:space="preserve"> </w:t>
            </w:r>
            <w:r>
              <w:t xml:space="preserve">(worst-case scenario) to the human CL</w:t>
            </w:r>
            <w:r>
              <w:rPr>
                <w:vertAlign w:val="subscript"/>
              </w:rPr>
              <w:t xml:space="preserve">int,u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Regression data available for human and some (but not all) animals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 a weighted average of the Case B result (from animals with regression) and the Case A result (from animals without regression), weighted by the number of species in each group</w:t>
            </w:r>
          </w:p>
        </w:tc>
      </w:tr>
    </w:tbl>
    <w:p>
      <w:pPr>
        <w:pStyle w:val="BodyText"/>
      </w:pPr>
      <w:r>
        <w:t xml:space="preserve">If no animal in vivo clearance data are available for any species, the IVIV</w:t>
      </w:r>
      <w:r>
        <w:t xml:space="preserve"> </w:t>
      </w:r>
      <w:r>
        <w:t xml:space="preserve">correction cannot be applied and the raw in vitro prediction is used directly.</w:t>
      </w:r>
    </w:p>
    <w:p>
      <w:pPr>
        <w:pStyle w:val="BodyText"/>
      </w:pPr>
      <w:r>
        <w:rPr>
          <w:bCs/>
          <w:b/>
        </w:rPr>
        <w:t xml:space="preserve">The PK Prediction sheet in the downloaded Excel report describes which</w:t>
      </w:r>
      <w:r>
        <w:rPr>
          <w:bCs/>
          <w:b/>
        </w:rPr>
        <w:t xml:space="preserve"> </w:t>
      </w:r>
      <w:r>
        <w:rPr>
          <w:bCs/>
          <w:b/>
        </w:rPr>
        <w:t xml:space="preserve">correction case was detected for each assay type</w:t>
      </w:r>
      <w:r>
        <w:t xml:space="preserve"> </w:t>
      </w:r>
      <w:r>
        <w:t xml:space="preserve">(hepatocytes and</w:t>
      </w:r>
      <w:r>
        <w:t xml:space="preserve"> </w:t>
      </w:r>
      <w:r>
        <w:t xml:space="preserve">microsomes), lists the individual per-species correction factors, and shows the</w:t>
      </w:r>
      <w:r>
        <w:t xml:space="preserve"> </w:t>
      </w:r>
      <w:r>
        <w:t xml:space="preserve">geometric mean factor applied to the human data.</w:t>
      </w:r>
    </w:p>
    <w:bookmarkEnd w:id="116"/>
    <w:bookmarkStart w:id="117" w:name="Xfe60e8205f063ce604588987ad061c3706c4c32"/>
    <w:p>
      <w:pPr>
        <w:pStyle w:val="Heading4"/>
      </w:pPr>
      <w:r>
        <w:rPr>
          <w:rStyle w:val="SectionNumber"/>
        </w:rPr>
        <w:t xml:space="preserve">2.2.3.4</w:t>
      </w:r>
      <w:r>
        <w:tab/>
      </w:r>
      <w:r>
        <w:t xml:space="preserve">Step 4: Assay selection: hepatocytes vs. microsomes</w:t>
      </w:r>
    </w:p>
    <w:p>
      <w:pPr>
        <w:pStyle w:val="FirstParagraph"/>
      </w:pPr>
      <w:r>
        <w:t xml:space="preserve">When both hepatocyte and microsome data are provided, MMVSola selects the assay</w:t>
      </w:r>
      <w:r>
        <w:t xml:space="preserve"> </w:t>
      </w:r>
      <w:r>
        <w:t xml:space="preserve">whose geometric mean IVIVE correction factor is closest to 1 on the log scale -</w:t>
      </w:r>
      <w:r>
        <w:t xml:space="preserve"> </w:t>
      </w:r>
      <w:r>
        <w:t xml:space="preserve">that is, the assay that best predicted animal in vivo clearance. If both assays</w:t>
      </w:r>
      <w:r>
        <w:t xml:space="preserve"> </w:t>
      </w:r>
      <w:r>
        <w:t xml:space="preserve">show equal performance, or if only one assay type has data, hepatocytes are</w:t>
      </w:r>
      <w:r>
        <w:t xml:space="preserve"> </w:t>
      </w:r>
      <w:r>
        <w:t xml:space="preserve">preferred. The selected assay and method are shown in the Source column of the Human PK Parameters table in the Prediction tab.</w:t>
      </w:r>
    </w:p>
    <w:bookmarkEnd w:id="117"/>
    <w:bookmarkStart w:id="118" w:name="step-5-total-plasma-clearance"/>
    <w:p>
      <w:pPr>
        <w:pStyle w:val="Heading4"/>
      </w:pPr>
      <w:r>
        <w:rPr>
          <w:rStyle w:val="SectionNumber"/>
        </w:rPr>
        <w:t xml:space="preserve">2.2.3.5</w:t>
      </w:r>
      <w:r>
        <w:tab/>
      </w:r>
      <w:r>
        <w:t xml:space="preserve">Step 5: Total plasma clearance</w:t>
      </w:r>
    </w:p>
    <w:p>
      <w:pPr>
        <w:pStyle w:val="FirstParagraph"/>
      </w:pPr>
      <w:r>
        <w:t xml:space="preserve">The final total predicted human plasma clearance adds the (user-entered) renal</w:t>
      </w:r>
      <w:r>
        <w:t xml:space="preserve"> </w:t>
      </w:r>
      <w:r>
        <w:t xml:space="preserve">plasma clearance to the hepatic component: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=</m:t>
          </m:r>
          <m:r>
            <m:t>C</m:t>
          </m:r>
          <m:sSub>
            <m:e>
              <m:r>
                <m:t>L</m:t>
              </m:r>
            </m:e>
            <m:sub>
              <m:r>
                <m:t>h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+</m:t>
          </m:r>
          <m:r>
            <m:t>C</m:t>
          </m:r>
          <m:sSub>
            <m:e>
              <m:r>
                <m:t>L</m:t>
              </m:r>
            </m:e>
            <m:sub>
              <m:r>
                <m:t>r</m:t>
              </m:r>
              <m:r>
                <m:t>e</m:t>
              </m:r>
              <m:r>
                <m:t>n</m:t>
              </m:r>
              <m:r>
                <m:t>a</m:t>
              </m:r>
              <m:r>
                <m:t>l</m:t>
              </m:r>
            </m:sub>
          </m:sSub>
        </m:oMath>
      </m:oMathPara>
    </w:p>
    <w:p>
      <w:pPr>
        <w:pStyle w:val="FirstParagraph"/>
      </w:pPr>
      <w:r>
        <w:t xml:space="preserve">Renal plasma clearance defaults to zero if not entered.</w:t>
      </w:r>
    </w:p>
    <w:p>
      <w:pPr>
        <w:pStyle w:val="BodyText"/>
      </w:pPr>
      <w:r>
        <w:t xml:space="preserve">This predicted value can be overridden with a directly entered human plasma</w:t>
      </w:r>
      <w:r>
        <w:t xml:space="preserve"> </w:t>
      </w:r>
      <w:r>
        <w:t xml:space="preserve">clearance (e.g. from clinical PK data) in the</w:t>
      </w:r>
      <w:r>
        <w:t xml:space="preserve"> </w:t>
      </w:r>
      <w:r>
        <w:rPr>
          <w:bCs/>
          <w:b/>
        </w:rPr>
        <w:t xml:space="preserve">Plasma CL</w:t>
      </w:r>
      <w:r>
        <w:t xml:space="preserve"> </w:t>
      </w:r>
      <w:r>
        <w:t xml:space="preserve">human (H) column</w:t>
      </w:r>
      <w:r>
        <w:t xml:space="preserve"> </w:t>
      </w:r>
      <w:r>
        <w:t xml:space="preserve">of the</w:t>
      </w:r>
      <w:r>
        <w:t xml:space="preserve"> </w:t>
      </w:r>
      <w:r>
        <w:rPr>
          <w:bCs/>
          <w:b/>
        </w:rPr>
        <w:t xml:space="preserve">PK in vivo</w:t>
      </w:r>
      <w:r>
        <w:t xml:space="preserve"> </w:t>
      </w:r>
      <w:r>
        <w:t xml:space="preserve">input group (Section</w:t>
      </w:r>
      <w:r>
        <w:t xml:space="preserve"> </w:t>
      </w:r>
      <w:r>
        <w:t xml:space="preserve">1</w:t>
      </w:r>
      <w:r>
        <w:t xml:space="preserve">, Step 4). The</w:t>
      </w:r>
      <w:r>
        <w:t xml:space="preserve"> </w:t>
      </w:r>
      <w:r>
        <w:t xml:space="preserve">manually entered value then flows through to every downstream calculation -</w:t>
      </w:r>
      <w:r>
        <w:t xml:space="preserve"> </w:t>
      </w:r>
      <w:r>
        <w:t xml:space="preserve">dose predictions, PK/PD simulation, and the report - exactly as the predicted</w:t>
      </w:r>
      <w:r>
        <w:t xml:space="preserve"> </w:t>
      </w:r>
      <w:r>
        <w:t xml:space="preserve">value would have.</w:t>
      </w:r>
    </w:p>
    <w:bookmarkEnd w:id="118"/>
    <w:bookmarkStart w:id="119" w:name="allometric-scaling"/>
    <w:p>
      <w:pPr>
        <w:pStyle w:val="Heading4"/>
      </w:pPr>
      <w:r>
        <w:rPr>
          <w:rStyle w:val="SectionNumber"/>
        </w:rPr>
        <w:t xml:space="preserve">2.2.3.6</w:t>
      </w:r>
      <w:r>
        <w:tab/>
      </w:r>
      <w:r>
        <w:t xml:space="preserve">Allometric scaling</w:t>
      </w:r>
    </w:p>
    <w:p>
      <w:pPr>
        <w:pStyle w:val="FirstParagraph"/>
      </w:pPr>
      <w:r>
        <w:t xml:space="preserve">Where in vivo plasma clearance data are available for one or more preclinical</w:t>
      </w:r>
      <w:r>
        <w:t xml:space="preserve"> </w:t>
      </w:r>
      <w:r>
        <w:t xml:space="preserve">species, clearance can be predicted by allometric scaling. The principle is that</w:t>
      </w:r>
      <w:r>
        <w:t xml:space="preserve"> </w:t>
      </w:r>
      <w:r>
        <w:t xml:space="preserve">metabolic rate scales predictably with body mass across mammalian species.</w:t>
      </w:r>
    </w:p>
    <w:p>
      <w:pPr>
        <w:pStyle w:val="BodyText"/>
      </w:pPr>
      <w:r>
        <w:t xml:space="preserve">Allometry is performed on the</w:t>
      </w:r>
      <w:r>
        <w:t xml:space="preserve"> </w:t>
      </w:r>
      <w:r>
        <w:rPr>
          <w:bCs/>
          <w:b/>
        </w:rPr>
        <w:t xml:space="preserve">unbound absolute</w:t>
      </w:r>
      <w:r>
        <w:t xml:space="preserve"> </w:t>
      </w:r>
      <w:r>
        <w:t xml:space="preserve">plasma clearance (whole-body</w:t>
      </w:r>
      <w:r>
        <w:t xml:space="preserve"> </w:t>
      </w:r>
      <w:r>
        <w:t xml:space="preserve">CL in L/h, divided by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 </w:t>
      </w:r>
      <w:r>
        <w:t xml:space="preserve">to give the unbound value). On a log-log</w:t>
      </w:r>
      <w:r>
        <w:t xml:space="preserve"> </w:t>
      </w:r>
      <w:r>
        <w:t xml:space="preserve">scale, this quantity follows a power law across species: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log</m:t>
          </m:r>
          <m:d>
            <m:dPr>
              <m:begChr m:val="("/>
              <m:endChr m:val=")"/>
              <m:sepChr m:val=""/>
              <m:grow/>
            </m:dPr>
            <m:e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t>b</m:t>
                  </m:r>
                  <m:r>
                    <m:t>s</m:t>
                  </m:r>
                </m:sub>
              </m:sSub>
            </m:e>
          </m:d>
          <m:r>
            <m:rPr>
              <m:sty m:val="p"/>
            </m:rPr>
            <m:t>=</m:t>
          </m:r>
          <m:r>
            <m:rPr>
              <m:sty m:val="p"/>
            </m:rPr>
            <m:t>log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r>
            <m:t>b</m:t>
          </m:r>
          <m:r>
            <m:rPr>
              <m:sty m:val="p"/>
            </m:rPr>
            <m:t>⋅</m:t>
          </m:r>
          <m:r>
            <m:rPr>
              <m:sty m:val="p"/>
            </m:rPr>
            <m:t>log</m:t>
          </m:r>
          <m:d>
            <m:dPr>
              <m:begChr m:val="("/>
              <m:endChr m:val=")"/>
              <m:sepChr m:val=""/>
              <m:grow/>
            </m:dPr>
            <m:e>
              <m:r>
                <m:t>B</m:t>
              </m:r>
              <m:r>
                <m:t>W</m:t>
              </m:r>
            </m:e>
          </m:d>
        </m:oMath>
      </m:oMathPara>
    </w:p>
    <w:p>
      <w:pPr>
        <w:pStyle w:val="FirstParagraph"/>
      </w:pPr>
      <w:r>
        <w:t xml:space="preserve">The human unbound clearance is extrapolated to the patient body weight using</w:t>
      </w:r>
      <w:r>
        <w:t xml:space="preserve"> </w:t>
      </w:r>
      <w:r>
        <w:t xml:space="preserve">the fitted slope</w:t>
      </w:r>
      <w:r>
        <w:t xml:space="preserve"> </w:t>
      </w:r>
      <m:oMath>
        <m:r>
          <m:t>b</m:t>
        </m:r>
      </m:oMath>
      <w:r>
        <w:t xml:space="preserve">, and the human plasma clearance is recovered by</w:t>
      </w:r>
      <w:r>
        <w:t xml:space="preserve"> </w:t>
      </w:r>
      <w:r>
        <w:t xml:space="preserve">multiplying by the human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Two situations are handled: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One species available</w:t>
      </w:r>
      <w:r>
        <w:t xml:space="preserve">: the slope is fixed at 0.75, the accepted</w:t>
      </w:r>
      <w:r>
        <w:t xml:space="preserve"> </w:t>
      </w:r>
      <w:r>
        <w:t xml:space="preserve">allometric exponent for metabolic rate across mammals.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Two or three species available</w:t>
      </w:r>
      <w:r>
        <w:t xml:space="preserve">: the slope is estimated from the data.</w:t>
      </w:r>
      <w:r>
        <w:t xml:space="preserve"> </w:t>
      </w:r>
      <w:r>
        <w:t xml:space="preserve">If the fitted slope falls outside the range 0.65-0.85, allometric scaling</w:t>
      </w:r>
      <w:r>
        <w:t xml:space="preserve"> </w:t>
      </w:r>
      <w:r>
        <w:t xml:space="preserve">is considered unreliable and the prediction is not used; only IVIVE is</w:t>
      </w:r>
      <w:r>
        <w:t xml:space="preserve"> </w:t>
      </w:r>
      <w:r>
        <w:t xml:space="preserve">applied.</w:t>
      </w:r>
    </w:p>
    <w:p>
      <w:pPr>
        <w:pStyle w:val="FirstParagraph"/>
      </w:pPr>
      <w:r>
        <w:t xml:space="preserve">When the</w:t>
      </w:r>
      <w:r>
        <w:t xml:space="preserve"> </w:t>
      </w:r>
      <w:r>
        <w:rPr>
          <w:bCs/>
          <w:b/>
        </w:rPr>
        <w:t xml:space="preserve">IVIVE + Allometry</w:t>
      </w:r>
      <w:r>
        <w:t xml:space="preserve"> </w:t>
      </w:r>
      <w:r>
        <w:t xml:space="preserve">method is selected and allometry passes, the</w:t>
      </w:r>
      <w:r>
        <w:t xml:space="preserve"> </w:t>
      </w:r>
      <w:r>
        <w:t xml:space="preserve">final clearance is the geometric mean of both predictions: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sSub>
            <m:e>
              <m:r>
                <m:t>L</m:t>
              </m:r>
            </m:e>
            <m:sub>
              <m:r>
                <m:t>f</m:t>
              </m:r>
              <m:r>
                <m:t>i</m:t>
              </m:r>
              <m:r>
                <m:t>n</m:t>
              </m:r>
              <m:r>
                <m:t>a</m:t>
              </m:r>
              <m:r>
                <m:t>l</m:t>
              </m:r>
            </m:sub>
          </m:sSub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V</m:t>
                  </m:r>
                  <m:r>
                    <m:t>I</m:t>
                  </m:r>
                  <m:r>
                    <m:t>V</m:t>
                  </m:r>
                  <m:r>
                    <m:t>E</m:t>
                  </m:r>
                </m:sub>
              </m:sSub>
              <m:r>
                <m:rPr>
                  <m:sty m:val="p"/>
                </m:rPr>
                <m:t>×</m:t>
              </m:r>
              <m:r>
                <m:t>C</m:t>
              </m:r>
              <m:sSub>
                <m:e>
                  <m:r>
                    <m:t>L</m:t>
                  </m:r>
                </m:e>
                <m:sub>
                  <m:r>
                    <m:t>A</m:t>
                  </m:r>
                  <m:r>
                    <m:t>l</m:t>
                  </m:r>
                  <m:r>
                    <m:t>l</m:t>
                  </m:r>
                  <m:r>
                    <m:t>o</m:t>
                  </m:r>
                  <m:r>
                    <m:t>m</m:t>
                  </m:r>
                  <m:r>
                    <m:t>e</m:t>
                  </m:r>
                  <m:r>
                    <m:t>t</m:t>
                  </m:r>
                  <m:r>
                    <m:t>r</m:t>
                  </m:r>
                  <m:r>
                    <m:t>y</m:t>
                  </m:r>
                </m:sub>
              </m:sSub>
            </m:e>
          </m:rad>
        </m:oMath>
      </m:oMathPara>
    </w:p>
    <w:p>
      <w:pPr>
        <w:pStyle w:val="FirstParagraph"/>
      </w:pPr>
      <w:r>
        <w:t xml:space="preserve">If allometry fails, the IVIVE value is used alone.</w:t>
      </w:r>
    </w:p>
    <w:p>
      <w:r>
        <w:pict>
          <v:rect style="width:0;height:1.5pt" o:hralign="center" o:hrstd="t" o:hr="t"/>
        </w:pict>
      </w:r>
    </w:p>
    <w:bookmarkEnd w:id="119"/>
    <w:bookmarkEnd w:id="120"/>
    <w:bookmarkStart w:id="121" w:name="volume-of-distribution"/>
    <w:p>
      <w:pPr>
        <w:pStyle w:val="Heading3"/>
      </w:pPr>
      <w:r>
        <w:rPr>
          <w:rStyle w:val="SectionNumber"/>
        </w:rPr>
        <w:t xml:space="preserve">2.2.4</w:t>
      </w:r>
      <w:r>
        <w:tab/>
      </w:r>
      <w:r>
        <w:t xml:space="preserve">Volume of Distribution</w:t>
      </w:r>
    </w:p>
    <w:p>
      <w:pPr>
        <w:pStyle w:val="FirstParagraph"/>
      </w:pPr>
      <w:r>
        <w:t xml:space="preserve">The volume of distribution describes how extensively a drug distributes into</w:t>
      </w:r>
      <w:r>
        <w:t xml:space="preserve"> </w:t>
      </w:r>
      <w:r>
        <w:t xml:space="preserve">tissues compared to plasma. A large volume means most of the drug is in tissues;</w:t>
      </w:r>
      <w:r>
        <w:t xml:space="preserve"> </w:t>
      </w:r>
      <w:r>
        <w:t xml:space="preserve">a small volume means it remains mainly in plasma.</w:t>
      </w:r>
    </w:p>
    <w:p>
      <w:pPr>
        <w:pStyle w:val="BodyText"/>
      </w:pPr>
      <w:r>
        <w:t xml:space="preserve">Human</w:t>
      </w:r>
      <w:r>
        <w:t xml:space="preserve"> </w:t>
      </w:r>
      <m:oMath>
        <m:sSub>
          <m:e>
            <m:r>
              <m:t>V</m:t>
            </m:r>
          </m:e>
          <m:sub>
            <m:r>
              <m:t>s</m:t>
            </m:r>
            <m:r>
              <m:t>s</m:t>
            </m:r>
          </m:sub>
        </m:sSub>
      </m:oMath>
      <w:r>
        <w:t xml:space="preserve"> </w:t>
      </w:r>
      <w:r>
        <w:t xml:space="preserve">is predicted from animal in vivo data using the concept of</w:t>
      </w:r>
      <w:r>
        <w:t xml:space="preserve"> </w:t>
      </w:r>
      <w:r>
        <w:rPr>
          <w:bCs/>
          <w:b/>
        </w:rPr>
        <w:t xml:space="preserve">unbound volume of distribution</w:t>
      </w:r>
      <w:r>
        <w:t xml:space="preserve">. The unbound volume (</w:t>
      </w:r>
      <m:oMath>
        <m:sSub>
          <m:e>
            <m:r>
              <m:t>V</m:t>
            </m:r>
          </m:e>
          <m:sub>
            <m:r>
              <m:t>s</m:t>
            </m:r>
            <m:r>
              <m:t>s</m:t>
            </m:r>
          </m:sub>
        </m:sSub>
        <m:r>
          <m:rPr>
            <m:sty m:val="p"/>
          </m:rPr>
          <m:t>/</m:t>
        </m:r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)</w:t>
      </w:r>
      <w:r>
        <w:t xml:space="preserve"> </w:t>
      </w:r>
      <w:r>
        <w:t xml:space="preserve">reflects drug partitioning between tissue water and plasma water, and is more</w:t>
      </w:r>
      <w:r>
        <w:t xml:space="preserve"> </w:t>
      </w:r>
      <w:r>
        <w:t xml:space="preserve">consistent across species than the total volume. The geometric mean of the</w:t>
      </w:r>
      <w:r>
        <w:t xml:space="preserve"> </w:t>
      </w:r>
      <w:r>
        <w:t xml:space="preserve">unbound volume across available animal species is scaled to the human</w:t>
      </w:r>
      <w:r>
        <w:t xml:space="preserve"> </w:t>
      </w:r>
      <w:r>
        <w:t xml:space="preserve">unbound fraction and body weight. The animal</w:t>
      </w:r>
      <w:r>
        <w:t xml:space="preserve"> </w:t>
      </w:r>
      <m:oMath>
        <m:sSub>
          <m:e>
            <m:r>
              <m:t>V</m:t>
            </m:r>
          </m:e>
          <m:sub>
            <m:r>
              <m:t>s</m:t>
            </m:r>
            <m:r>
              <m:t>s</m:t>
            </m:r>
          </m:sub>
        </m:sSub>
      </m:oMath>
      <w:r>
        <w:t xml:space="preserve"> </w:t>
      </w:r>
      <w:r>
        <w:t xml:space="preserve">values are entered</w:t>
      </w:r>
      <w:r>
        <w:t xml:space="preserve"> </w:t>
      </w:r>
      <w:r>
        <w:t xml:space="preserve">already normalised to body weight (in L/kg), so: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V</m:t>
              </m:r>
            </m:e>
            <m:sub>
              <m:r>
                <m:t>s</m:t>
              </m:r>
              <m:r>
                <m:t>s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t>u</m:t>
              </m:r>
              <m:r>
                <m:t>m</m:t>
              </m:r>
              <m:r>
                <m:t>a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=</m:t>
          </m:r>
          <m:r>
            <m:rPr>
              <m:nor/>
              <m:sty m:val="p"/>
            </m:rPr>
            <m:t>geomean</m:t>
          </m:r>
          <m:r>
            <m:t>​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V</m:t>
                      </m:r>
                    </m:e>
                    <m:sub>
                      <m:r>
                        <m:t>s</m:t>
                      </m:r>
                      <m:r>
                        <m:t>s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  <m:r>
                        <m:t>n</m:t>
                      </m:r>
                      <m:r>
                        <m:t>i</m:t>
                      </m:r>
                      <m:r>
                        <m:t>m</m:t>
                      </m:r>
                      <m:r>
                        <m:t>a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i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p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m</m:t>
                      </m:r>
                      <m:r>
                        <m:t>a</m:t>
                      </m:r>
                    </m:sub>
                  </m:sSub>
                  <m:r>
                    <m:t> </m:t>
                  </m:r>
                  <m:d>
                    <m:dPr>
                      <m:begChr m:val="["/>
                      <m:endChr m:val="]"/>
                      <m:sepChr m:val=""/>
                      <m:grow/>
                    </m:dPr>
                    <m:e>
                      <m:r>
                        <m:rPr>
                          <m:nor/>
                          <m:sty m:val="p"/>
                        </m:rPr>
                        <m:t>L/kg</m:t>
                      </m:r>
                    </m:e>
                  </m:d>
                </m:num>
                <m:den>
                  <m:sSub>
                    <m:e>
                      <m:r>
                        <m:t>f</m:t>
                      </m:r>
                    </m:e>
                    <m:sub>
                      <m:r>
                        <m:t>u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p</m:t>
                      </m:r>
                      <m:r>
                        <m:t>l</m:t>
                      </m:r>
                      <m:r>
                        <m:t>a</m:t>
                      </m:r>
                      <m:r>
                        <m:t>s</m:t>
                      </m:r>
                      <m:r>
                        <m:t>m</m:t>
                      </m:r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  <m:r>
                        <m:t>n</m:t>
                      </m:r>
                      <m:r>
                        <m:t>i</m:t>
                      </m:r>
                      <m:r>
                        <m:t>m</m:t>
                      </m:r>
                      <m:r>
                        <m:t>a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i</m:t>
                      </m:r>
                    </m:sub>
                  </m:sSub>
                </m:den>
              </m:f>
            </m:e>
          </m:d>
          <m:r>
            <m:rPr>
              <m:sty m:val="p"/>
            </m:rPr>
            <m:t>×</m:t>
          </m:r>
          <m:sSub>
            <m:e>
              <m:r>
                <m:t>f</m:t>
              </m:r>
            </m:e>
            <m:sub>
              <m:r>
                <m:t>u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t>u</m:t>
              </m:r>
              <m:r>
                <m:t>m</m:t>
              </m:r>
              <m:r>
                <m:t>a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×</m:t>
          </m:r>
          <m:r>
            <m:t>B</m:t>
          </m:r>
          <m:sSub>
            <m:e>
              <m:r>
                <m:t>W</m:t>
              </m:r>
            </m:e>
            <m:sub>
              <m:r>
                <m:t>h</m:t>
              </m:r>
              <m:r>
                <m:t>u</m:t>
              </m:r>
              <m:r>
                <m:t>m</m:t>
              </m:r>
              <m:r>
                <m:t>a</m:t>
              </m:r>
              <m:r>
                <m:t>n</m:t>
              </m:r>
            </m:sub>
          </m:sSub>
        </m:oMath>
      </m:oMathPara>
    </w:p>
    <w:p>
      <w:pPr>
        <w:pStyle w:val="FirstParagraph"/>
      </w:pPr>
      <w:r>
        <w:t xml:space="preserve">where the geometric mean is taken over the animal species (rat, mouse, dog)</w:t>
      </w:r>
      <w:r>
        <w:t xml:space="preserve"> </w:t>
      </w:r>
      <w:r>
        <w:t xml:space="preserve">for which</w:t>
      </w:r>
      <w:r>
        <w:t xml:space="preserve"> </w:t>
      </w:r>
      <m:oMath>
        <m:sSub>
          <m:e>
            <m:r>
              <m:t>V</m:t>
            </m:r>
          </m:e>
          <m:sub>
            <m:r>
              <m:t>s</m:t>
            </m:r>
            <m:r>
              <m:t>s</m:t>
            </m:r>
          </m:sub>
        </m:sSub>
      </m:oMath>
      <w:r>
        <w:t xml:space="preserve"> </w:t>
      </w:r>
      <w:r>
        <w:t xml:space="preserve">data are available.</w:t>
      </w:r>
    </w:p>
    <w:p>
      <w:pPr>
        <w:pStyle w:val="BodyText"/>
      </w:pPr>
      <w:r>
        <w:t xml:space="preserve">As with plasma clearance, this predicted value can be overridden with a</w:t>
      </w:r>
      <w:r>
        <w:t xml:space="preserve"> </w:t>
      </w:r>
      <w:r>
        <w:t xml:space="preserve">directly entered human</w:t>
      </w:r>
      <w:r>
        <w:t xml:space="preserve"> </w:t>
      </w:r>
      <m:oMath>
        <m:sSub>
          <m:e>
            <m:r>
              <m:t>V</m:t>
            </m:r>
          </m:e>
          <m:sub>
            <m:r>
              <m:t>s</m:t>
            </m:r>
            <m:r>
              <m:t>s</m:t>
            </m:r>
          </m:sub>
        </m:sSub>
      </m:oMath>
      <w:r>
        <w:t xml:space="preserve"> </w:t>
      </w:r>
      <w:r>
        <w:t xml:space="preserve">in the</w:t>
      </w:r>
      <w:r>
        <w:t xml:space="preserve"> </w:t>
      </w:r>
      <w:r>
        <w:rPr>
          <w:bCs/>
          <w:b/>
        </w:rPr>
        <w:t xml:space="preserve">Plasma Vss</w:t>
      </w:r>
      <w:r>
        <w:t xml:space="preserve"> </w:t>
      </w:r>
      <w:r>
        <w:t xml:space="preserve">human (H) column of the</w:t>
      </w:r>
      <w:r>
        <w:t xml:space="preserve"> </w:t>
      </w:r>
      <w:r>
        <w:rPr>
          <w:bCs/>
          <w:b/>
        </w:rPr>
        <w:t xml:space="preserve">PK in vivo</w:t>
      </w:r>
      <w:r>
        <w:t xml:space="preserve"> </w:t>
      </w:r>
      <w:r>
        <w:t xml:space="preserve">input group, which then takes precedence in every downstream</w:t>
      </w:r>
      <w:r>
        <w:t xml:space="preserve"> </w:t>
      </w:r>
      <w:r>
        <w:t xml:space="preserve">calculation.</w:t>
      </w:r>
    </w:p>
    <w:bookmarkEnd w:id="121"/>
    <w:bookmarkEnd w:id="122"/>
    <w:bookmarkStart w:id="131" w:name="pd-parameter-prediction"/>
    <w:p>
      <w:pPr>
        <w:pStyle w:val="Heading2"/>
      </w:pPr>
      <w:r>
        <w:rPr>
          <w:rStyle w:val="SectionNumber"/>
        </w:rPr>
        <w:t xml:space="preserve">2.3</w:t>
      </w:r>
      <w:r>
        <w:tab/>
      </w:r>
      <w:r>
        <w:t xml:space="preserve">PD Parameter Prediction</w:t>
      </w:r>
    </w:p>
    <w:p>
      <w:pPr>
        <w:pStyle w:val="FirstParagraph"/>
      </w:pPr>
      <w:r>
        <w:t xml:space="preserve">The PD model needs four parameters to characterise the drug effect: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,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, the Hill coefficient</w:t>
      </w:r>
      <w:r>
        <w:t xml:space="preserve"> </w:t>
      </w:r>
      <m:oMath>
        <m:r>
          <m:t>h</m:t>
        </m:r>
      </m:oMath>
      <w:r>
        <w:t xml:space="preserve">, and the PD lag rate</w:t>
      </w:r>
      <w:r>
        <w:t xml:space="preserve"> </w:t>
      </w:r>
      <m:oMath>
        <m:sSub>
          <m:e>
            <m:r>
              <m:t>k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.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predicted either from in vitro cell-based</w:t>
      </w:r>
      <w:r>
        <w:t xml:space="preserve"> </w:t>
      </w:r>
      <w:r>
        <w:t xml:space="preserve">assay data, or from in vivo SCID mouse experiment data, as described below.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 </w:t>
      </w:r>
      <w:r>
        <w:t xml:space="preserve">is always calculated from the in vitro PRR assay data, also when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come from SCID data.</w:t>
      </w:r>
      <w:r>
        <w:t xml:space="preserve"> </w:t>
      </w:r>
      <m:oMath>
        <m:sSub>
          <m:e>
            <m:r>
              <m:t>k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 </w:t>
      </w:r>
      <w:r>
        <w:t xml:space="preserve">is derived directly from the user-entered</w:t>
      </w:r>
      <w:r>
        <w:t xml:space="preserve"> </w:t>
      </w:r>
      <w:r>
        <w:rPr>
          <w:bCs/>
          <w:b/>
        </w:rPr>
        <w:t xml:space="preserve">PRR Lag Time</w:t>
      </w:r>
      <w:r>
        <w:t xml:space="preserve"> </w:t>
      </w:r>
      <m:oMath>
        <m:sSub>
          <m:e>
            <m:r>
              <m:t>t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 </w:t>
      </w:r>
      <w:r>
        <w:t xml:space="preserve">(default: 0 h, i.e. no lag) as</w:t>
      </w:r>
      <w:r>
        <w:t xml:space="preserve"> </w:t>
      </w:r>
      <m:oMath>
        <m:sSub>
          <m:e>
            <m:r>
              <m:t>k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/</m:t>
        </m:r>
        <m:sSub>
          <m:e>
            <m:r>
              <m:t>t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.</w:t>
      </w:r>
    </w:p>
    <w:bookmarkStart w:id="126" w:name="from-in-vitro-data"/>
    <w:p>
      <w:pPr>
        <w:pStyle w:val="Heading3"/>
      </w:pPr>
      <w:r>
        <w:rPr>
          <w:rStyle w:val="SectionNumber"/>
        </w:rPr>
        <w:t xml:space="preserve">2.3.1</w:t>
      </w:r>
      <w:r>
        <w:tab/>
      </w:r>
      <w:r>
        <w:t xml:space="preserve">From In Vitro Data</w:t>
      </w:r>
    </w:p>
    <w:p>
      <w:pPr>
        <w:pStyle w:val="FirstParagraph"/>
      </w:pPr>
      <w:r>
        <w:t xml:space="preserve">Two complementary in vitro assays feed into the PD parameter predictions</w:t>
      </w:r>
      <w:r>
        <w:t xml:space="preserve"> </w:t>
      </w:r>
      <w:r>
        <w:t xml:space="preserve">described below:</w:t>
      </w:r>
    </w:p>
    <w:p>
      <w:pPr>
        <w:numPr>
          <w:ilvl w:val="0"/>
          <w:numId w:val="1007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parasite reduction ratio (PRR) assay</w:t>
      </w:r>
      <w:r>
        <w:t xml:space="preserve"> </w:t>
      </w:r>
      <w:r>
        <w:t xml:space="preserve">exposes parasites to a</w:t>
      </w:r>
      <w:r>
        <w:t xml:space="preserve"> </w:t>
      </w:r>
      <w:r>
        <w:t xml:space="preserve">constant, high (</w:t>
      </w:r>
      <w:r>
        <w:t xml:space="preserve">“</w:t>
      </w:r>
      <w:r>
        <w:t xml:space="preserve">maximally killing</w:t>
      </w:r>
      <w:r>
        <w:t xml:space="preserve">”</w:t>
      </w:r>
      <w:r>
        <w:t xml:space="preserve">) drug concentration for 5 days, counting</w:t>
      </w:r>
      <w:r>
        <w:t xml:space="preserve"> </w:t>
      </w:r>
      <w:r>
        <w:t xml:space="preserve">the surviving, replication-competent parasites each day. The resulting</w:t>
      </w:r>
      <w:r>
        <w:t xml:space="preserve"> </w:t>
      </w:r>
      <w:r>
        <w:t xml:space="preserve">log-linear decline gives the PRR</w:t>
      </w:r>
      <w:r>
        <w:rPr>
          <w:vertAlign w:val="subscript"/>
        </w:rPr>
        <w:t xml:space="preserve">48</w:t>
      </w:r>
      <w:r>
        <w:t xml:space="preserve"> </w:t>
      </w:r>
      <w:r>
        <w:t xml:space="preserve">- the log</w:t>
      </w:r>
      <w:r>
        <w:rPr>
          <w:vertAlign w:val="subscript"/>
        </w:rPr>
        <w:t xml:space="preserve">10</w:t>
      </w:r>
      <w:r>
        <w:t xml:space="preserve">-fold reduction in</w:t>
      </w:r>
      <w:r>
        <w:t xml:space="preserve"> </w:t>
      </w:r>
      <w:r>
        <w:t xml:space="preserve">parasite count per 48 hours once the maximal kill rate has been reached -</w:t>
      </w:r>
      <w:r>
        <w:t xml:space="preserve"> </w:t>
      </w:r>
      <w:r>
        <w:t xml:space="preserve">together with any</w:t>
      </w:r>
      <w:r>
        <w:t xml:space="preserve"> </w:t>
      </w:r>
      <w:r>
        <w:rPr>
          <w:bCs/>
          <w:b/>
        </w:rPr>
        <w:t xml:space="preserve">PRR lag time</w:t>
      </w:r>
      <w:r>
        <w:t xml:space="preserve">, i.e. a delay before that maximal kill</w:t>
      </w:r>
      <w:r>
        <w:t xml:space="preserve"> </w:t>
      </w:r>
      <w:r>
        <w:t xml:space="preserve">rate sets in. Because it follows the same parasites over several days at a</w:t>
      </w:r>
      <w:r>
        <w:t xml:space="preserve"> </w:t>
      </w:r>
      <w:r>
        <w:t xml:space="preserve">saturating concentration, this assay is the source of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 </w:t>
      </w:r>
      <w:r>
        <w:t xml:space="preserve">and of the</w:t>
      </w:r>
      <w:r>
        <w:t xml:space="preserve"> </w:t>
      </w:r>
      <w:r>
        <w:t xml:space="preserve">PRR lag time used to derive</w:t>
      </w:r>
      <w:r>
        <w:t xml:space="preserve"> </w:t>
      </w:r>
      <m:oMath>
        <m:sSub>
          <m:e>
            <m:r>
              <m:t>k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growth inhibition assay</w:t>
      </w:r>
      <w:r>
        <w:t xml:space="preserve"> </w:t>
      </w:r>
      <w:r>
        <w:t xml:space="preserve">instead tests a range of</w:t>
      </w:r>
      <w:r>
        <w:t xml:space="preserve"> </w:t>
      </w:r>
      <w:r>
        <w:rPr>
          <w:iCs/>
          <w:i/>
        </w:rPr>
        <w:t xml:space="preserve">constant</w:t>
      </w:r>
      <w:r>
        <w:t xml:space="preserve"> </w:t>
      </w:r>
      <w:r>
        <w:t xml:space="preserve">drug</w:t>
      </w:r>
      <w:r>
        <w:t xml:space="preserve"> </w:t>
      </w:r>
      <w:r>
        <w:t xml:space="preserve">concentrations for 72 hours (alongside an untreated control well), and</w:t>
      </w:r>
      <w:r>
        <w:t xml:space="preserve"> </w:t>
      </w:r>
      <w:r>
        <w:t xml:space="preserve">records only a single end-point measurement per concentration: the percent</w:t>
      </w:r>
      <w:r>
        <w:t xml:space="preserve"> </w:t>
      </w:r>
      <w:r>
        <w:t xml:space="preserve">inhibition of parasite growth relative to the control. Fitting a sigmoidal</w:t>
      </w:r>
      <w:r>
        <w:t xml:space="preserve"> </w:t>
      </w:r>
      <w:r>
        <w:t xml:space="preserve">curve to inhibition vs. concentration - with the effect fixed at 0 for no</w:t>
      </w:r>
      <w:r>
        <w:t xml:space="preserve"> </w:t>
      </w:r>
      <w:r>
        <w:t xml:space="preserve">drug and at 1 (100%) at saturating concentrations - yields the static</w:t>
      </w:r>
      <w:r>
        <w:t xml:space="preserve"> </w:t>
      </w:r>
      <w:r>
        <w:t xml:space="preserve">IC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 coefficient. Because each concentration is only measured</w:t>
      </w:r>
      <w:r>
        <w:t xml:space="preserve"> </w:t>
      </w:r>
      <w:r>
        <w:t xml:space="preserve">once, at the end of the assay, this assay cannot resolve any killing lag; it</w:t>
      </w:r>
      <w:r>
        <w:t xml:space="preserve"> </w:t>
      </w:r>
      <w:r>
        <w:t xml:space="preserve">is the source of the static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 values converted into dynamic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below.</w:t>
      </w:r>
    </w:p>
    <w:bookmarkStart w:id="123" w:name="emax"/>
    <w:p>
      <w:pPr>
        <w:pStyle w:val="Heading4"/>
      </w:pPr>
      <w:r>
        <w:rPr>
          <w:rStyle w:val="SectionNumber"/>
        </w:rPr>
        <w:t xml:space="preserve">2.3.1.1</w:t>
      </w:r>
      <w:r>
        <w:tab/>
      </w:r>
      <w:r>
        <w:t xml:space="preserve">EMAX</w:t>
      </w:r>
    </w:p>
    <w:p>
      <w:pPr>
        <w:pStyle w:val="FirstParagraph"/>
      </w:pP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 </w:t>
      </w:r>
      <w:r>
        <w:t xml:space="preserve">is the maximum rate at which a compound can eliminate parasites when</w:t>
      </w:r>
      <w:r>
        <w:t xml:space="preserve"> </w:t>
      </w:r>
      <w:r>
        <w:t xml:space="preserve">present at a saturating concentration. It is calculated from the</w:t>
      </w:r>
      <w:r>
        <w:t xml:space="preserve"> </w:t>
      </w:r>
      <w:r>
        <w:rPr>
          <w:bCs/>
          <w:b/>
        </w:rPr>
        <w:t xml:space="preserve">parasite</w:t>
      </w:r>
      <w:r>
        <w:rPr>
          <w:bCs/>
          <w:b/>
        </w:rPr>
        <w:t xml:space="preserve"> </w:t>
      </w:r>
      <w:r>
        <w:rPr>
          <w:bCs/>
          <w:b/>
        </w:rPr>
        <w:t xml:space="preserve">reduction ratio (PRR)</w:t>
      </w:r>
      <w:r>
        <w:t xml:space="preserve"> </w:t>
      </w:r>
      <w:r>
        <w:t xml:space="preserve">- the log</w:t>
      </w:r>
      <w:r>
        <w:rPr>
          <w:vertAlign w:val="subscript"/>
        </w:rPr>
        <w:t xml:space="preserve">10</w:t>
      </w:r>
      <w:r>
        <w:t xml:space="preserve">-fold reduction in parasite count measured</w:t>
      </w:r>
      <w:r>
        <w:t xml:space="preserve"> </w:t>
      </w:r>
      <w:r>
        <w:t xml:space="preserve">after 48 hours in the in vitro PRR assay at a drug concentration well above the</w:t>
      </w:r>
      <w:r>
        <w:t xml:space="preserve"> </w:t>
      </w:r>
      <w:r>
        <w:t xml:space="preserve">IC</w:t>
      </w:r>
      <w:r>
        <w:rPr>
          <w:vertAlign w:val="subscript"/>
        </w:rPr>
        <w:t xml:space="preserve">50</w:t>
      </w:r>
      <w:r>
        <w:t xml:space="preserve">.</w:t>
      </w:r>
    </w:p>
    <w:p>
      <w:pPr>
        <w:pStyle w:val="BodyText"/>
      </w:pPr>
      <w:r>
        <w:t xml:space="preserve">Relating the maximum net kill rate over a 48-hour window to the measured</w:t>
      </w:r>
      <w:r>
        <w:t xml:space="preserve"> </w:t>
      </w:r>
      <w:r>
        <w:t xml:space="preserve">log-scale parasite reduction gives: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E</m:t>
              </m:r>
            </m:e>
            <m:sub>
              <m:r>
                <m:t>M</m:t>
              </m:r>
              <m:r>
                <m:t>A</m:t>
              </m:r>
              <m:r>
                <m:t>X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10</m:t>
                      </m:r>
                    </m:e>
                    <m:sup>
                      <m:r>
                        <m:t>P</m:t>
                      </m:r>
                      <m:r>
                        <m:t>R</m:t>
                      </m:r>
                      <m:r>
                        <m:t>R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10</m:t>
                  </m:r>
                </m:e>
              </m:d>
            </m:num>
            <m:den>
              <m:r>
                <m:t>48</m:t>
              </m:r>
              <m:r>
                <m:rPr>
                  <m:nor/>
                  <m:sty m:val="p"/>
                </m:rPr>
                <m:t> h</m:t>
              </m:r>
            </m:den>
          </m:f>
        </m:oMath>
      </m:oMathPara>
    </w:p>
    <w:p>
      <w:pPr>
        <w:pStyle w:val="FirstParagraph"/>
      </w:pPr>
      <w:r>
        <w:t xml:space="preserve">For example, a compound with PRR = 3 (1000-fold reduction per 48 h) has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  <m:r>
          <m:rPr>
            <m:sty m:val="p"/>
          </m:rPr>
          <m:t>≈</m:t>
        </m:r>
        <m:r>
          <m:t>0.144</m:t>
        </m:r>
      </m:oMath>
      <w:r>
        <w:t xml:space="preserve"> </w:t>
      </w:r>
      <w:r>
        <w:t xml:space="preserve">/h. The default value used when no PRR measurement is</w:t>
      </w:r>
      <w:r>
        <w:t xml:space="preserve"> </w:t>
      </w:r>
      <w:r>
        <w:t xml:space="preserve">available is PRR = 3 (i.e. 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  <m:r>
          <m:rPr>
            <m:sty m:val="p"/>
          </m:rPr>
          <m:t>≈</m:t>
        </m:r>
        <m:r>
          <m:t>0.144</m:t>
        </m:r>
      </m:oMath>
      <w:r>
        <w:t xml:space="preserve"> </w:t>
      </w:r>
      <w:r>
        <w:t xml:space="preserve">/h).</w:t>
      </w:r>
    </w:p>
    <w:bookmarkEnd w:id="123"/>
    <w:bookmarkStart w:id="124" w:name="ec50-and-hill-coefficient"/>
    <w:p>
      <w:pPr>
        <w:pStyle w:val="Heading4"/>
      </w:pPr>
      <w:r>
        <w:rPr>
          <w:rStyle w:val="SectionNumber"/>
        </w:rPr>
        <w:t xml:space="preserve">2.3.1.2</w:t>
      </w:r>
      <w:r>
        <w:tab/>
      </w:r>
      <w:r>
        <w:t xml:space="preserve">EC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 Coefficient</w:t>
      </w:r>
    </w:p>
    <w:p>
      <w:pPr>
        <w:pStyle w:val="FirstParagraph"/>
      </w:pPr>
      <w:r>
        <w:t xml:space="preserve">The standard in vitro growth inhibition assay measures an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(the</w:t>
      </w:r>
      <w:r>
        <w:t xml:space="preserve"> </w:t>
      </w:r>
      <w:r>
        <w:t xml:space="preserve">concentration at 50% growth inhibition) and a Hill coefficient under</w:t>
      </w:r>
      <w:r>
        <w:t xml:space="preserve"> </w:t>
      </w:r>
      <w:r>
        <w:rPr>
          <w:bCs/>
          <w:b/>
        </w:rPr>
        <w:t xml:space="preserve">static</w:t>
      </w:r>
      <w:r>
        <w:t xml:space="preserve"> </w:t>
      </w:r>
      <w:r>
        <w:t xml:space="preserve">conditions - the drug concentration is held constant throughout the 72-hour</w:t>
      </w:r>
      <w:r>
        <w:t xml:space="preserve"> </w:t>
      </w:r>
      <w:r>
        <w:t xml:space="preserve">assay. In a patient, drug concentrations are not constant: they rise and fall</w:t>
      </w:r>
      <w:r>
        <w:t xml:space="preserve"> </w:t>
      </w:r>
      <w:r>
        <w:t xml:space="preserve">with each dose. A</w:t>
      </w:r>
      <w:r>
        <w:t xml:space="preserve"> </w:t>
      </w:r>
      <w:r>
        <w:rPr>
          <w:bCs/>
          <w:b/>
        </w:rPr>
        <w:t xml:space="preserve">dynamic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and Hill coefficient, describing</w:t>
      </w:r>
      <w:r>
        <w:t xml:space="preserve"> </w:t>
      </w:r>
      <w:r>
        <w:t xml:space="preserve">parasite killing under fluctuating concentrations, are therefore needed and will</w:t>
      </w:r>
      <w:r>
        <w:t xml:space="preserve"> </w:t>
      </w:r>
      <w:r>
        <w:t xml:space="preserve">differ from the static assay values.</w:t>
      </w:r>
    </w:p>
    <w:p>
      <w:pPr>
        <w:pStyle w:val="BodyText"/>
      </w:pPr>
      <w:r>
        <w:t xml:space="preserve">MMVSola converts the static in vitro measurements to dynamic equivalents in</w:t>
      </w:r>
      <w:r>
        <w:t xml:space="preserve"> </w:t>
      </w:r>
      <w:r>
        <w:t xml:space="preserve">two steps:</w:t>
      </w:r>
    </w:p>
    <w:p>
      <w:pPr>
        <w:pStyle w:val="BodyText"/>
      </w:pPr>
      <w:r>
        <w:rPr>
          <w:bCs/>
          <w:b/>
        </w:rPr>
        <w:t xml:space="preserve">Step 1: Hill adjustment.</w:t>
      </w:r>
      <w:r>
        <w:t xml:space="preserve"> </w:t>
      </w:r>
      <w:r>
        <w:t xml:space="preserve">The static Hill coefficient from the growth</w:t>
      </w:r>
      <w:r>
        <w:t xml:space="preserve"> </w:t>
      </w:r>
      <w:r>
        <w:t xml:space="preserve">inhibition assay is adjusted downward to a lower dynamic value. Higher PRR</w:t>
      </w:r>
      <w:r>
        <w:t xml:space="preserve"> </w:t>
      </w:r>
      <w:r>
        <w:t xml:space="preserve">(more potent killing) leads to a larger downward correction. This relationship</w:t>
      </w:r>
      <w:r>
        <w:t xml:space="preserve"> </w:t>
      </w:r>
      <w:r>
        <w:t xml:space="preserve">was established empirically by simulating the 72-hour growth inhibition assay</w:t>
      </w:r>
      <w:r>
        <w:t xml:space="preserve"> </w:t>
      </w:r>
      <w:r>
        <w:t xml:space="preserve">across a grid of PRR and Hill combinations and fitting a linear regression</w:t>
      </w:r>
      <w:r>
        <w:t xml:space="preserve"> </w:t>
      </w:r>
      <w:r>
        <w:t xml:space="preserve">between the static and dynamic Hill values.</w:t>
      </w:r>
    </w:p>
    <w:p>
      <w:pPr>
        <w:pStyle w:val="BodyText"/>
      </w:pPr>
      <w:r>
        <w:rPr>
          <w:bCs/>
          <w:b/>
        </w:rPr>
        <w:t xml:space="preserve">Step 2: IC</w:t>
      </w:r>
      <w:r>
        <w:rPr>
          <w:vertAlign w:val="subscript"/>
          <w:bCs/>
          <w:b/>
        </w:rPr>
        <w:t xml:space="preserve">50</w:t>
      </w:r>
      <w:r>
        <w:rPr>
          <w:bCs/>
          <w:b/>
        </w:rPr>
        <w:t xml:space="preserve"> </w:t>
      </w:r>
      <w:r>
        <w:rPr>
          <w:bCs/>
          <w:b/>
        </w:rPr>
        <w:t xml:space="preserve">to EC</w:t>
      </w:r>
      <w:r>
        <w:rPr>
          <w:vertAlign w:val="subscript"/>
          <w:bCs/>
          <w:b/>
        </w:rPr>
        <w:t xml:space="preserve">50</w:t>
      </w:r>
      <w:r>
        <w:rPr>
          <w:bCs/>
          <w:b/>
        </w:rPr>
        <w:t xml:space="preserve"> </w:t>
      </w:r>
      <w:r>
        <w:rPr>
          <w:bCs/>
          <w:b/>
        </w:rPr>
        <w:t xml:space="preserve">conversion.</w:t>
      </w:r>
      <w:r>
        <w:t xml:space="preserve"> </w:t>
      </w:r>
      <w:r>
        <w:t xml:space="preserve">The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from the growth</w:t>
      </w:r>
      <w:r>
        <w:t xml:space="preserve"> </w:t>
      </w:r>
      <w:r>
        <w:t xml:space="preserve">inhibition assay is not equivalent to the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for the dynamic killing model.</w:t>
      </w:r>
      <w:r>
        <w:t xml:space="preserve"> </w:t>
      </w:r>
      <w:r>
        <w:t xml:space="preserve">The ratio</w:t>
      </w:r>
      <w:r>
        <w:t xml:space="preserve"> </w:t>
      </w:r>
      <m:oMath>
        <m:r>
          <m:t>I</m:t>
        </m:r>
        <m:sSub>
          <m:e>
            <m:r>
              <m:t>C</m:t>
            </m:r>
          </m:e>
          <m:sub>
            <m:r>
              <m:t>50</m:t>
            </m:r>
          </m:sub>
        </m:sSub>
        <m:r>
          <m:rPr>
            <m:sty m:val="p"/>
          </m:rPr>
          <m:t>/</m:t>
        </m:r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depends on both the PRR and the adjusted Hill</w:t>
      </w:r>
      <w:r>
        <w:t xml:space="preserve"> </w:t>
      </w:r>
      <w:r>
        <w:t xml:space="preserve">coefficient. This ratio is estimated by bilinear interpolation from a</w:t>
      </w:r>
      <w:r>
        <w:t xml:space="preserve"> </w:t>
      </w:r>
      <w:r>
        <w:t xml:space="preserve">pre-computed grid of PK/PD simulations, and the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is obtained as</w:t>
      </w:r>
      <w:r>
        <w:t xml:space="preserve"> </w:t>
      </w:r>
      <w:r>
        <w:t xml:space="preserve">IC</w:t>
      </w:r>
      <w:r>
        <w:rPr>
          <w:vertAlign w:val="subscript"/>
        </w:rPr>
        <w:t xml:space="preserve">50</w:t>
      </w:r>
      <w:r>
        <w:t xml:space="preserve"> </w:t>
      </w:r>
      <w:r>
        <w:t xml:space="preserve">divided by this ratio.</w:t>
      </w:r>
    </w:p>
    <w:p>
      <w:pPr>
        <w:pStyle w:val="BodyText"/>
      </w:pPr>
      <w:r>
        <w:rPr>
          <w:bCs/>
          <w:b/>
        </w:rPr>
        <w:t xml:space="preserve">PRR lag-time correction.</w:t>
      </w:r>
      <w:r>
        <w:t xml:space="preserve"> </w:t>
      </w:r>
      <w:r>
        <w:t xml:space="preserve">If a PRR Lag Time</w:t>
      </w:r>
      <w:r>
        <w:t xml:space="preserve"> </w:t>
      </w:r>
      <m:oMath>
        <m:sSub>
          <m:e>
            <m:r>
              <m:t>t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 </w:t>
      </w:r>
      <w:r>
        <w:t xml:space="preserve">is entered (the delay</w:t>
      </w:r>
      <w:r>
        <w:t xml:space="preserve"> </w:t>
      </w:r>
      <w:r>
        <w:t xml:space="preserve">before killing begins, e.g. because a drug requires time to accumulate inside</w:t>
      </w:r>
      <w:r>
        <w:t xml:space="preserve"> </w:t>
      </w:r>
      <w:r>
        <w:t xml:space="preserve">infected red blood cells), the dynamic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 values from Steps 1-2</w:t>
      </w:r>
      <w:r>
        <w:t xml:space="preserve"> </w:t>
      </w:r>
      <w:r>
        <w:t xml:space="preserve">above (</w:t>
      </w:r>
      <m:oMath>
        <m:sSub>
          <m:e>
            <m:r>
              <m:t>X</m:t>
            </m:r>
          </m:e>
          <m:sub>
            <m:r>
              <m:t>d</m:t>
            </m:r>
            <m:r>
              <m:t>y</m:t>
            </m:r>
            <m:r>
              <m:t>n</m:t>
            </m:r>
            <m:r>
              <m:t>a</m:t>
            </m:r>
            <m:r>
              <m:t>m</m:t>
            </m:r>
            <m:r>
              <m:t>i</m:t>
            </m:r>
            <m:r>
              <m:t>c</m:t>
            </m:r>
          </m:sub>
        </m:sSub>
      </m:oMath>
      <w:r>
        <w:t xml:space="preserve">) are linearly interpolated towards the original static</w:t>
      </w:r>
      <w:r>
        <w:t xml:space="preserve"> </w:t>
      </w:r>
      <w:r>
        <w:t xml:space="preserve">assay values (</w:t>
      </w:r>
      <m:oMath>
        <m:sSub>
          <m:e>
            <m:r>
              <m:t>X</m:t>
            </m:r>
          </m:e>
          <m:sub>
            <m:r>
              <m:t>a</m:t>
            </m:r>
            <m:r>
              <m:t>s</m:t>
            </m:r>
            <m:r>
              <m:t>s</m:t>
            </m:r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- i.e. IC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the static Hill), proportional to</w:t>
      </w:r>
      <w:r>
        <w:t xml:space="preserve"> </w:t>
      </w:r>
      <m:oMath>
        <m:sSub>
          <m:e>
            <m:r>
              <m:t>t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</m:oMath>
      <w:r>
        <w:t xml:space="preserve"> </w:t>
      </w:r>
      <w:r>
        <w:t xml:space="preserve">relative to the 72-hour assay duration: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h</m:t>
              </m:r>
              <m:r>
                <m:t>u</m:t>
              </m:r>
              <m:r>
                <m:t>m</m:t>
              </m:r>
              <m:r>
                <m:t>a</m:t>
              </m:r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d</m:t>
              </m:r>
              <m:r>
                <m:t>y</m:t>
              </m:r>
              <m:r>
                <m:t>n</m:t>
              </m:r>
              <m:r>
                <m:t>a</m:t>
              </m:r>
              <m:r>
                <m:t>m</m:t>
              </m:r>
              <m:r>
                <m:t>i</m:t>
              </m:r>
              <m:r>
                <m:t>c</m:t>
              </m:r>
            </m:sub>
          </m:sSub>
          <m:r>
            <m:rPr>
              <m:sty m:val="p"/>
            </m:rPr>
            <m:t>+</m:t>
          </m:r>
          <m:d>
            <m:dPr>
              <m:begChr m:val="("/>
              <m:endChr m:val=")"/>
              <m:sepChr m:val=""/>
              <m:grow/>
            </m:dPr>
            <m:e>
              <m:sSub>
                <m:e>
                  <m:r>
                    <m:t>X</m:t>
                  </m:r>
                </m:e>
                <m:sub>
                  <m:r>
                    <m:t>a</m:t>
                  </m:r>
                  <m:r>
                    <m:t>s</m:t>
                  </m:r>
                  <m:r>
                    <m:t>s</m:t>
                  </m:r>
                  <m:r>
                    <m:t>a</m:t>
                  </m:r>
                  <m:r>
                    <m:t>y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d</m:t>
                  </m:r>
                  <m:r>
                    <m:t>y</m:t>
                  </m:r>
                  <m:r>
                    <m:t>n</m:t>
                  </m:r>
                  <m:r>
                    <m:t>a</m:t>
                  </m:r>
                  <m:r>
                    <m:t>m</m:t>
                  </m:r>
                  <m:r>
                    <m:t>i</m:t>
                  </m:r>
                  <m:r>
                    <m:t>c</m:t>
                  </m:r>
                </m:sub>
              </m:sSub>
            </m:e>
          </m:d>
          <m:r>
            <m:rPr>
              <m:sty m:val="p"/>
            </m:rPr>
            <m:t>×</m:t>
          </m:r>
          <m:f>
            <m:fPr>
              <m:type m:val="bar"/>
            </m:fPr>
            <m:num>
              <m:sSub>
                <m:e>
                  <m:r>
                    <m:t>t</m:t>
                  </m:r>
                </m:e>
                <m:sub>
                  <m:r>
                    <m:t>l</m:t>
                  </m:r>
                  <m:r>
                    <m:t>a</m:t>
                  </m:r>
                  <m:r>
                    <m:t>g</m:t>
                  </m:r>
                </m:sub>
              </m:sSub>
            </m:num>
            <m:den>
              <m:r>
                <m:t>72</m:t>
              </m:r>
              <m:r>
                <m:rPr>
                  <m:nor/>
                  <m:sty m:val="p"/>
                </m:rPr>
                <m:t> h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t>1</m:t>
          </m:r>
          <m:r>
            <m:rPr>
              <m:nor/>
              <m:sty m:val="p"/>
            </m:rPr>
            <m:t> h</m:t>
          </m:r>
          <m:r>
            <m:rPr>
              <m:sty m:val="p"/>
            </m:rPr>
            <m:t>&lt;</m:t>
          </m:r>
          <m:sSub>
            <m:e>
              <m:r>
                <m:t>t</m:t>
              </m:r>
            </m:e>
            <m:sub>
              <m:r>
                <m:t>l</m:t>
              </m:r>
              <m:r>
                <m:t>a</m:t>
              </m:r>
              <m:r>
                <m:t>g</m:t>
              </m:r>
            </m:sub>
          </m:sSub>
          <m:r>
            <m:rPr>
              <m:sty m:val="p"/>
            </m:rPr>
            <m:t>&lt;</m:t>
          </m:r>
          <m:r>
            <m:t>72</m:t>
          </m:r>
          <m:r>
            <m:rPr>
              <m:nor/>
              <m:sty m:val="p"/>
            </m:rPr>
            <m:t> h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b>
          <m:e>
            <m:r>
              <m:t>t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h the dynamic value is used unchanged (</w:t>
      </w:r>
      <m:oMath>
        <m:sSub>
          <m:e>
            <m:r>
              <m:t>X</m:t>
            </m:r>
          </m:e>
          <m:sub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d</m:t>
            </m:r>
            <m:r>
              <m:t>y</m:t>
            </m:r>
            <m:r>
              <m:t>n</m:t>
            </m:r>
            <m:r>
              <m:t>a</m:t>
            </m:r>
            <m:r>
              <m:t>m</m:t>
            </m:r>
            <m:r>
              <m:t>i</m:t>
            </m:r>
            <m:r>
              <m:t>c</m:t>
            </m:r>
          </m:sub>
        </m:sSub>
      </m:oMath>
      <w:r>
        <w:t xml:space="preserve">, i.e. no correction); for</w:t>
      </w:r>
      <w:r>
        <w:t xml:space="preserve"> </w:t>
      </w:r>
      <m:oMath>
        <m:sSub>
          <m:e>
            <m:r>
              <m:t>t</m:t>
            </m:r>
          </m:e>
          <m:sub>
            <m:r>
              <m:t>l</m:t>
            </m:r>
            <m:r>
              <m:t>a</m:t>
            </m:r>
            <m:r>
              <m:t>g</m:t>
            </m:r>
          </m:sub>
        </m:sSub>
        <m:r>
          <m:rPr>
            <m:sty m:val="p"/>
          </m:rPr>
          <m:t>≥</m:t>
        </m:r>
        <m:r>
          <m:t>72</m:t>
        </m:r>
      </m:oMath>
      <w:r>
        <w:t xml:space="preserve"> </w:t>
      </w:r>
      <w:r>
        <w:t xml:space="preserve">h the static assay</w:t>
      </w:r>
      <w:r>
        <w:t xml:space="preserve"> </w:t>
      </w:r>
      <w:r>
        <w:t xml:space="preserve">value is used directly (</w:t>
      </w:r>
      <m:oMath>
        <m:sSub>
          <m:e>
            <m:r>
              <m:t>X</m:t>
            </m:r>
          </m:e>
          <m:sub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a</m:t>
            </m:r>
            <m:r>
              <m:t>s</m:t>
            </m:r>
            <m:r>
              <m:t>s</m:t>
            </m:r>
            <m:r>
              <m:t>a</m:t>
            </m:r>
            <m:r>
              <m:t>y</m:t>
            </m:r>
          </m:sub>
        </m:sSub>
      </m:oMath>
      <w:r>
        <w:t xml:space="preserve">). The rationale: a longer lag</w:t>
      </w:r>
      <w:r>
        <w:t xml:space="preserve"> </w:t>
      </w:r>
      <w:r>
        <w:t xml:space="preserve">time means less killing occurs within the 72-hour assay window, so the</w:t>
      </w:r>
      <w:r>
        <w:t xml:space="preserve"> </w:t>
      </w:r>
      <w:r>
        <w:t xml:space="preserve">measured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 are closer to their true static values than to the</w:t>
      </w:r>
      <w:r>
        <w:t xml:space="preserve"> </w:t>
      </w:r>
      <w:r>
        <w:t xml:space="preserve">dynamic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and Hill that describe killing once it is fully under way.</w:t>
      </w:r>
    </w:p>
    <w:p>
      <w:pPr>
        <w:pStyle w:val="BodyText"/>
      </w:pPr>
      <w:r>
        <w:rPr>
          <w:bCs/>
          <w:b/>
        </w:rPr>
        <w:t xml:space="preserve">Matrix and unit conversion.</w:t>
      </w:r>
      <w:r>
        <w:t xml:space="preserve"> </w:t>
      </w:r>
      <w:r>
        <w:t xml:space="preserve">The assay IC</w:t>
      </w:r>
      <w:r>
        <w:rPr>
          <w:vertAlign w:val="subscript"/>
        </w:rPr>
        <w:t xml:space="preserve">50</w:t>
      </w:r>
      <w:r>
        <w:t xml:space="preserve"> </w:t>
      </w:r>
      <w:r>
        <w:t xml:space="preserve">is measured in culture medium</w:t>
      </w:r>
      <w:r>
        <w:t xml:space="preserve"> </w:t>
      </w:r>
      <w:r>
        <w:t xml:space="preserve">(typically in nM). The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used in the simulation must be in human plasma</w:t>
      </w:r>
      <w:r>
        <w:t xml:space="preserve"> </w:t>
      </w:r>
      <w:r>
        <w:t xml:space="preserve">(µg/mL). The conversion accounts for:</w:t>
      </w:r>
    </w:p>
    <w:p>
      <w:pPr>
        <w:numPr>
          <w:ilvl w:val="0"/>
          <w:numId w:val="1008"/>
        </w:numPr>
        <w:pStyle w:val="Compact"/>
      </w:pPr>
      <w:r>
        <w:t xml:space="preserve">Drug binding in the assay medium (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a</m:t>
            </m:r>
            <m:r>
              <m:t>s</m:t>
            </m:r>
            <m:r>
              <m:t>s</m:t>
            </m:r>
            <m:r>
              <m:t>a</m:t>
            </m:r>
            <m:r>
              <m:t>y</m:t>
            </m:r>
          </m:sub>
        </m:sSub>
      </m:oMath>
      <w:r>
        <w:t xml:space="preserve">, the unbound fraction in</w:t>
      </w:r>
      <w:r>
        <w:t xml:space="preserve"> </w:t>
      </w:r>
      <w:r>
        <w:t xml:space="preserve">Albumax medium)</w:t>
      </w:r>
    </w:p>
    <w:p>
      <w:pPr>
        <w:numPr>
          <w:ilvl w:val="0"/>
          <w:numId w:val="1008"/>
        </w:numPr>
        <w:pStyle w:val="Compact"/>
      </w:pPr>
      <w:r>
        <w:t xml:space="preserve">Human plasma protein binding (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p</m:t>
            </m:r>
            <m:r>
              <m:t>l</m:t>
            </m:r>
            <m:r>
              <m:t>a</m:t>
            </m:r>
            <m:r>
              <m:t>s</m:t>
            </m:r>
            <m:r>
              <m:t>m</m:t>
            </m:r>
            <m:r>
              <m:t>a</m:t>
            </m:r>
          </m:sub>
        </m:sSub>
      </m:oMath>
      <w:r>
        <w:t xml:space="preserve">)</w:t>
      </w:r>
    </w:p>
    <w:p>
      <w:pPr>
        <w:numPr>
          <w:ilvl w:val="0"/>
          <w:numId w:val="1008"/>
        </w:numPr>
        <w:pStyle w:val="Compact"/>
      </w:pPr>
      <w:r>
        <w:t xml:space="preserve">Blood-to-plasma concentration ratio (</w:t>
      </w:r>
      <m:oMath>
        <m:r>
          <m:t>B</m:t>
        </m:r>
        <m:r>
          <m:t>​</m:t>
        </m:r>
        <m:r>
          <m:rPr>
            <m:sty m:val="p"/>
          </m:rPr>
          <m:t>:</m:t>
        </m:r>
        <m:r>
          <m:t>​</m:t>
        </m:r>
        <m:r>
          <m:t>P</m:t>
        </m:r>
      </m:oMath>
      <w:r>
        <w:t xml:space="preserve">, used to convert the</w:t>
      </w:r>
      <w:r>
        <w:t xml:space="preserve"> </w:t>
      </w:r>
      <w:r>
        <w:t xml:space="preserve">free-drug-equivalent blood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to plasma units)</w:t>
      </w:r>
    </w:p>
    <w:p>
      <w:pPr>
        <w:numPr>
          <w:ilvl w:val="0"/>
          <w:numId w:val="1008"/>
        </w:numPr>
        <w:pStyle w:val="Compact"/>
      </w:pPr>
      <w:r>
        <w:t xml:space="preserve">Molecular weight (for conversion from nM to µg/mL)</w:t>
      </w:r>
    </w:p>
    <w:bookmarkEnd w:id="124"/>
    <w:bookmarkStart w:id="125" w:name="mpc90-and-mic"/>
    <w:p>
      <w:pPr>
        <w:pStyle w:val="Heading4"/>
      </w:pPr>
      <w:r>
        <w:rPr>
          <w:rStyle w:val="SectionNumber"/>
        </w:rPr>
        <w:t xml:space="preserve">2.3.1.3</w:t>
      </w:r>
      <w:r>
        <w:tab/>
      </w:r>
      <w:r>
        <w:t xml:space="preserve">MPC</w:t>
      </w:r>
      <w:r>
        <w:rPr>
          <w:vertAlign w:val="subscript"/>
        </w:rPr>
        <w:t xml:space="preserve">90</w:t>
      </w:r>
      <w:r>
        <w:t xml:space="preserve"> </w:t>
      </w:r>
      <w:r>
        <w:t xml:space="preserve">and MIC</w:t>
      </w:r>
    </w:p>
    <w:p>
      <w:pPr>
        <w:pStyle w:val="FirstParagraph"/>
      </w:pPr>
      <w:r>
        <w:t xml:space="preserve">Two additional concentration thresholds are derived from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:</w:t>
      </w:r>
    </w:p>
    <w:p>
      <w:pPr>
        <w:pStyle w:val="BodyText"/>
      </w:pPr>
      <w:r>
        <w:rPr>
          <w:bCs/>
          <w:b/>
        </w:rPr>
        <w:t xml:space="preserve">MPC</w:t>
      </w:r>
      <w:r>
        <w:rPr>
          <w:vertAlign w:val="subscript"/>
          <w:bCs/>
          <w:b/>
        </w:rPr>
        <w:t xml:space="preserve">90</w:t>
      </w:r>
      <w:r>
        <w:t xml:space="preserve"> </w:t>
      </w:r>
      <w:r>
        <w:t xml:space="preserve">(Minimum Parasite-Clearing Concentration at 90% inhibition): the</w:t>
      </w:r>
      <w:r>
        <w:t xml:space="preserve"> </w:t>
      </w:r>
      <w:r>
        <w:t xml:space="preserve">plasma concentration needed to inhibit 90% of parasite growth at equilibrium.</w:t>
      </w:r>
      <w:r>
        <w:t xml:space="preserve"> </w:t>
      </w:r>
      <w:r>
        <w:t xml:space="preserve">Because the drug effect follows a Hill function, MPC</w:t>
      </w:r>
      <w:r>
        <w:rPr>
          <w:vertAlign w:val="subscript"/>
        </w:rPr>
        <w:t xml:space="preserve">90</w:t>
      </w:r>
      <w:r>
        <w:t xml:space="preserve"> </w:t>
      </w:r>
      <w:r>
        <w:t xml:space="preserve">is related to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by: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t>P</m:t>
          </m:r>
          <m:sSub>
            <m:e>
              <m:r>
                <m:t>C</m:t>
              </m:r>
            </m:e>
            <m:sub>
              <m:r>
                <m:t>90</m:t>
              </m:r>
            </m:sub>
          </m:sSub>
          <m:r>
            <m:rPr>
              <m:sty m:val="p"/>
            </m:rPr>
            <m:t>=</m:t>
          </m:r>
          <m:r>
            <m:t>E</m:t>
          </m:r>
          <m:sSub>
            <m:e>
              <m:r>
                <m:t>C</m:t>
              </m:r>
            </m:e>
            <m:sub>
              <m:r>
                <m:t>50</m:t>
              </m:r>
            </m:sub>
          </m:sSub>
          <m:r>
            <m:rPr>
              <m:sty m:val="p"/>
            </m:rPr>
            <m:t>×</m:t>
          </m:r>
          <m:sSup>
            <m:e>
              <m:r>
                <m:t>9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h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MIC</w:t>
      </w:r>
      <w:r>
        <w:t xml:space="preserve"> </w:t>
      </w:r>
      <w:r>
        <w:t xml:space="preserve">(Minimum Inhibitory Concentration, more precisely the plasma</w:t>
      </w:r>
      <w:r>
        <w:t xml:space="preserve"> </w:t>
      </w:r>
      <w:r>
        <w:t xml:space="preserve">concentration at which the drug-induced kill rate exactly balances the</w:t>
      </w:r>
      <w:r>
        <w:t xml:space="preserve"> </w:t>
      </w:r>
      <w:r>
        <w:t xml:space="preserve">patient parasite growth rate</w:t>
      </w:r>
      <w:r>
        <w:t xml:space="preserve"> </w:t>
      </w:r>
      <m:oMath>
        <m:r>
          <m:t>G</m:t>
        </m:r>
        <m:r>
          <m:t>R</m:t>
        </m:r>
      </m:oMath>
      <w:r>
        <w:t xml:space="preserve">, resulting in no net change in</w:t>
      </w:r>
      <w:r>
        <w:t xml:space="preserve"> </w:t>
      </w:r>
      <w:r>
        <w:t xml:space="preserve">parasitemia). Setting the net parasitemia rate of change to zero in the PD</w:t>
      </w:r>
      <w:r>
        <w:t xml:space="preserve"> </w:t>
      </w:r>
      <w:r>
        <w:t xml:space="preserve">model,</w:t>
      </w:r>
    </w:p>
    <w:p>
      <w:pPr>
        <w:pStyle w:val="BodyText"/>
      </w:pPr>
      <m:oMathPara>
        <m:oMathParaPr>
          <m:jc m:val="center"/>
        </m:oMathParaPr>
        <m:oMath>
          <m:r>
            <m:t>G</m:t>
          </m:r>
          <m:r>
            <m:t>R</m:t>
          </m:r>
          <m:r>
            <m:rPr>
              <m:sty m:val="p"/>
            </m:rPr>
            <m:t>=</m:t>
          </m:r>
          <m:sSub>
            <m:e>
              <m:r>
                <m:t>E</m:t>
              </m:r>
            </m:e>
            <m:sub>
              <m:r>
                <m:t>M</m:t>
              </m:r>
              <m:r>
                <m:t>A</m:t>
              </m:r>
              <m:r>
                <m:t>X</m:t>
              </m:r>
            </m:sub>
          </m:sSub>
          <m:r>
            <m:rPr>
              <m:sty m:val="p"/>
            </m:rPr>
            <m:t>×</m:t>
          </m:r>
          <m:f>
            <m:fPr>
              <m:type m:val="bar"/>
            </m:fPr>
            <m:num>
              <m:r>
                <m:t>M</m:t>
              </m:r>
              <m:r>
                <m:t>I</m:t>
              </m:r>
              <m:sSup>
                <m:e>
                  <m:r>
                    <m:t>C</m:t>
                  </m:r>
                </m:e>
                <m:sup>
                  <m:r>
                    <m:t>h</m:t>
                  </m:r>
                </m:sup>
              </m:sSup>
            </m:num>
            <m:den>
              <m:r>
                <m:t>M</m:t>
              </m:r>
              <m:r>
                <m:t>I</m:t>
              </m:r>
              <m:sSup>
                <m:e>
                  <m:r>
                    <m:t>C</m:t>
                  </m:r>
                </m:e>
                <m:sup>
                  <m:r>
                    <m:t>h</m:t>
                  </m:r>
                </m:sup>
              </m:sSup>
              <m:r>
                <m:rPr>
                  <m:sty m:val="p"/>
                </m:rPr>
                <m:t>+</m:t>
              </m:r>
              <m:r>
                <m:t>E</m:t>
              </m:r>
              <m:sSubSup>
                <m:e>
                  <m:r>
                    <m:t>C</m:t>
                  </m:r>
                </m:e>
                <m:sub>
                  <m:r>
                    <m:t>50</m:t>
                  </m:r>
                </m:sub>
                <m:sup>
                  <m:r>
                    <m:t>h</m:t>
                  </m:r>
                </m:sup>
              </m:sSubSup>
            </m:den>
          </m:f>
        </m:oMath>
      </m:oMathPara>
    </w:p>
    <w:p>
      <w:pPr>
        <w:pStyle w:val="FirstParagraph"/>
      </w:pPr>
      <w:r>
        <w:t xml:space="preserve">and solving for concentration gives:</w:t>
      </w:r>
    </w:p>
    <w:p>
      <w:pPr>
        <w:pStyle w:val="BodyText"/>
      </w:pPr>
      <m:oMathPara>
        <m:oMathParaPr>
          <m:jc m:val="center"/>
        </m:oMathParaPr>
        <m:oMath>
          <m:r>
            <m:t>M</m:t>
          </m:r>
          <m:r>
            <m:t>I</m:t>
          </m:r>
          <m:r>
            <m:t>C</m:t>
          </m:r>
          <m:r>
            <m:rPr>
              <m:sty m:val="p"/>
            </m:rPr>
            <m:t>=</m:t>
          </m:r>
          <m:r>
            <m:t>E</m:t>
          </m:r>
          <m:sSub>
            <m:e>
              <m:r>
                <m:t>C</m:t>
              </m:r>
            </m:e>
            <m:sub>
              <m:r>
                <m:t>50</m:t>
              </m:r>
            </m:sub>
          </m:sSub>
          <m:r>
            <m:rPr>
              <m:sty m:val="p"/>
            </m:rPr>
            <m:t>×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G</m:t>
                      </m:r>
                      <m:r>
                        <m:t>R</m:t>
                      </m:r>
                    </m:num>
                    <m:den>
                      <m:sSub>
                        <m:e>
                          <m:r>
                            <m:t>E</m:t>
                          </m:r>
                        </m:e>
                        <m:sub>
                          <m:r>
                            <m:t>M</m:t>
                          </m:r>
                          <m:r>
                            <m:t>A</m:t>
                          </m:r>
                          <m:r>
                            <m:t>X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r>
                        <m:t>G</m:t>
                      </m:r>
                      <m:r>
                        <m:t>R</m:t>
                      </m:r>
                    </m:den>
                  </m:f>
                </m:e>
              </m:d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h</m:t>
              </m:r>
            </m:sup>
          </m:sSup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  <m:r>
          <m:rPr>
            <m:sty m:val="p"/>
          </m:rPr>
          <m:t>≤</m:t>
        </m:r>
        <m:r>
          <m:t>G</m:t>
        </m:r>
        <m:r>
          <m:t>R</m:t>
        </m:r>
      </m:oMath>
      <w:r>
        <w:t xml:space="preserve"> </w:t>
      </w:r>
      <w:r>
        <w:t xml:space="preserve">the drug can never fully suppress parasite growth at any</w:t>
      </w:r>
      <w:r>
        <w:t xml:space="preserve"> </w:t>
      </w:r>
      <w:r>
        <w:t xml:space="preserve">concentration, and MIC is reported as infinite.</w:t>
      </w:r>
    </w:p>
    <w:p>
      <w:pPr>
        <w:pStyle w:val="BodyText"/>
      </w:pPr>
      <w:r>
        <w:t xml:space="preserve">Both MPC</w:t>
      </w:r>
      <w:r>
        <w:rPr>
          <w:vertAlign w:val="subscript"/>
        </w:rPr>
        <w:t xml:space="preserve">90</w:t>
      </w:r>
      <w:r>
        <w:t xml:space="preserve"> </w:t>
      </w:r>
      <w:r>
        <w:t xml:space="preserve">and MIC are reported in plasma concentration units.</w:t>
      </w:r>
    </w:p>
    <w:p>
      <w:r>
        <w:pict>
          <v:rect style="width:0;height:1.5pt" o:hralign="center" o:hrstd="t" o:hr="t"/>
        </w:pict>
      </w:r>
    </w:p>
    <w:bookmarkEnd w:id="125"/>
    <w:bookmarkEnd w:id="126"/>
    <w:bookmarkStart w:id="130" w:name="from-scid-mouse-data"/>
    <w:p>
      <w:pPr>
        <w:pStyle w:val="Heading3"/>
      </w:pPr>
      <w:r>
        <w:rPr>
          <w:rStyle w:val="SectionNumber"/>
        </w:rPr>
        <w:t xml:space="preserve">2.3.2</w:t>
      </w:r>
      <w:r>
        <w:tab/>
      </w:r>
      <w:r>
        <w:t xml:space="preserve">From SCID Mouse Data</w:t>
      </w:r>
    </w:p>
    <w:p>
      <w:pPr>
        <w:pStyle w:val="FirstParagraph"/>
      </w:pPr>
      <w:r>
        <w:t xml:space="preserve">If an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value has been measured in the SCID mouse model (in mouse</w:t>
      </w:r>
      <w:r>
        <w:t xml:space="preserve"> </w:t>
      </w:r>
      <w:r>
        <w:t xml:space="preserve">blood, ng/mL), MMVSola converts it to a human plasma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using a</w:t>
      </w:r>
      <w:r>
        <w:t xml:space="preserve"> </w:t>
      </w:r>
      <w:r>
        <w:t xml:space="preserve">species-adjustment procedure. The conversion accounts for the key differences</w:t>
      </w:r>
      <w:r>
        <w:t xml:space="preserve"> </w:t>
      </w:r>
      <w:r>
        <w:t xml:space="preserve">in blood composition between SCID mice and humans that affect the free drug</w:t>
      </w:r>
      <w:r>
        <w:t xml:space="preserve"> </w:t>
      </w:r>
      <w:r>
        <w:t xml:space="preserve">concentration available to parasites:</w:t>
      </w:r>
    </w:p>
    <w:p>
      <w:pPr>
        <w:numPr>
          <w:ilvl w:val="0"/>
          <w:numId w:val="1009"/>
        </w:numPr>
        <w:pStyle w:val="Compact"/>
      </w:pPr>
      <w:r>
        <w:t xml:space="preserve">Plasma protein binding in mouse vs. human</w:t>
      </w:r>
    </w:p>
    <w:p>
      <w:pPr>
        <w:numPr>
          <w:ilvl w:val="0"/>
          <w:numId w:val="1009"/>
        </w:numPr>
        <w:pStyle w:val="Compact"/>
      </w:pPr>
      <w:r>
        <w:t xml:space="preserve">Blood-to-plasma ratio in mouse vs. human</w:t>
      </w:r>
    </w:p>
    <w:p>
      <w:pPr>
        <w:numPr>
          <w:ilvl w:val="0"/>
          <w:numId w:val="1009"/>
        </w:numPr>
        <w:pStyle w:val="Compact"/>
      </w:pPr>
      <w:r>
        <w:t xml:space="preserve">Fraction of human red blood cells present in SCID mouse blood (60%)</w:t>
      </w:r>
    </w:p>
    <w:p>
      <w:pPr>
        <w:numPr>
          <w:ilvl w:val="0"/>
          <w:numId w:val="1009"/>
        </w:numPr>
        <w:pStyle w:val="Compact"/>
      </w:pPr>
      <w:r>
        <w:t xml:space="preserve">SCID mouse total haematocrit (80%)</w:t>
      </w:r>
    </w:p>
    <w:p>
      <w:pPr>
        <w:numPr>
          <w:ilvl w:val="0"/>
          <w:numId w:val="1009"/>
        </w:numPr>
        <w:pStyle w:val="Compact"/>
      </w:pPr>
      <w:r>
        <w:t xml:space="preserve">Human haematocrit (45%) and mouse haematocrit (45%)</w:t>
      </w:r>
    </w:p>
    <w:p>
      <w:pPr>
        <w:pStyle w:val="FirstParagraph"/>
      </w:pPr>
      <w:r>
        <w:t xml:space="preserve">The four haematocrit and red blood cell values above are fixed constants in</w:t>
      </w:r>
      <w:r>
        <w:t xml:space="preserve"> </w:t>
      </w:r>
      <w:r>
        <w:t xml:space="preserve">MMVSola; they are not inputs. The higher haematocrit of the SCID mouse is</w:t>
      </w:r>
      <w:r>
        <w:t xml:space="preserve"> </w:t>
      </w:r>
      <w:r>
        <w:t xml:space="preserve">therefore always accounted for, through the SCID blood-to-plasma ratio derived</w:t>
      </w:r>
      <w:r>
        <w:t xml:space="preserve"> </w:t>
      </w:r>
      <w:r>
        <w:t xml:space="preserve">in Step 1.</w:t>
      </w:r>
    </w:p>
    <w:p>
      <w:pPr>
        <w:pStyle w:val="BodyText"/>
      </w:pPr>
      <w:r>
        <w:t xml:space="preserve">The conversion needs the following inputs. If the SCID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or any</w:t>
      </w:r>
      <w:r>
        <w:t xml:space="preserve"> </w:t>
      </w:r>
      <w:r>
        <w:t xml:space="preserve">of the three values after it is not available, no SCID-derived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t xml:space="preserve">calculated:</w:t>
      </w:r>
    </w:p>
    <w:p>
      <w:pPr>
        <w:numPr>
          <w:ilvl w:val="0"/>
          <w:numId w:val="1010"/>
        </w:numPr>
        <w:pStyle w:val="Compact"/>
      </w:pPr>
      <w:r>
        <w:t xml:space="preserve">SCID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(</w:t>
      </w:r>
      <w:r>
        <w:rPr>
          <w:bCs/>
          <w:b/>
        </w:rPr>
        <w:t xml:space="preserve">PD in SCID</w:t>
      </w:r>
      <w:r>
        <w:t xml:space="preserve"> </w:t>
      </w:r>
      <w:r>
        <w:t xml:space="preserve">input group)</w:t>
      </w:r>
    </w:p>
    <w:p>
      <w:pPr>
        <w:numPr>
          <w:ilvl w:val="0"/>
          <w:numId w:val="1010"/>
        </w:numPr>
        <w:pStyle w:val="Compact"/>
      </w:pPr>
      <w:r>
        <w:t xml:space="preserve">Mouse plasma protein binding (</w:t>
      </w:r>
      <w:r>
        <w:rPr>
          <w:bCs/>
          <w:b/>
        </w:rPr>
        <w:t xml:space="preserve">PK in vivo</w:t>
      </w:r>
      <w:r>
        <w:t xml:space="preserve"> </w:t>
      </w:r>
      <w:r>
        <w:t xml:space="preserve">input group). If it is not</w:t>
      </w:r>
      <w:r>
        <w:t xml:space="preserve"> </w:t>
      </w:r>
      <w:r>
        <w:t xml:space="preserve">entered, a default is predicted from the other binding data or the LogD</w:t>
      </w:r>
      <w:r>
        <w:t xml:space="preserve"> </w:t>
      </w:r>
      <w:r>
        <w:t xml:space="preserve">of the compound (Section</w:t>
      </w:r>
      <w:r>
        <w:t xml:space="preserve"> </w:t>
      </w:r>
      <w:r>
        <w:t xml:space="preserve">5.2</w:t>
      </w:r>
      <w:r>
        <w:t xml:space="preserve">).</w:t>
      </w:r>
    </w:p>
    <w:p>
      <w:pPr>
        <w:numPr>
          <w:ilvl w:val="0"/>
          <w:numId w:val="1010"/>
        </w:numPr>
        <w:pStyle w:val="Compact"/>
      </w:pPr>
      <w:r>
        <w:t xml:space="preserve">Human plasma protein binding (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</m:oMath>
      <w:r>
        <w:t xml:space="preserve">), with a default predicted in</w:t>
      </w:r>
      <w:r>
        <w:t xml:space="preserve"> </w:t>
      </w:r>
      <w:r>
        <w:t xml:space="preserve">the same way</w:t>
      </w:r>
    </w:p>
    <w:p>
      <w:pPr>
        <w:numPr>
          <w:ilvl w:val="0"/>
          <w:numId w:val="1010"/>
        </w:numPr>
        <w:pStyle w:val="Compact"/>
      </w:pPr>
      <w:r>
        <w:t xml:space="preserve">Human blood-to-plasma ratio. If it is not entered, the rat blood-to-plasma</w:t>
      </w:r>
      <w:r>
        <w:t xml:space="preserve"> </w:t>
      </w:r>
      <w:r>
        <w:t xml:space="preserve">ratio is used when available; otherwise no SCID-derived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can be</w:t>
      </w:r>
      <w:r>
        <w:t xml:space="preserve"> </w:t>
      </w:r>
      <w:r>
        <w:t xml:space="preserve">calculated.</w:t>
      </w:r>
    </w:p>
    <w:p>
      <w:pPr>
        <w:numPr>
          <w:ilvl w:val="0"/>
          <w:numId w:val="1010"/>
        </w:numPr>
        <w:pStyle w:val="Compact"/>
      </w:pPr>
      <w:r>
        <w:t xml:space="preserve">Mouse blood-to-plasma ratio (</w:t>
      </w:r>
      <w:r>
        <w:rPr>
          <w:bCs/>
          <w:b/>
        </w:rPr>
        <w:t xml:space="preserve">PK in vivo</w:t>
      </w:r>
      <w:r>
        <w:t xml:space="preserve"> </w:t>
      </w:r>
      <w:r>
        <w:t xml:space="preserve">input group). If it is left</w:t>
      </w:r>
      <w:r>
        <w:t xml:space="preserve"> </w:t>
      </w:r>
      <w:r>
        <w:t xml:space="preserve">empty, the human blood-to-plasma ratio is used instead, so that the SCID</w:t>
      </w:r>
      <w:r>
        <w:t xml:space="preserve"> </w:t>
      </w:r>
      <w:r>
        <w:t xml:space="preserve">blood-to-plasma ratio then reflects the human value for the mouse red blood</w:t>
      </w:r>
      <w:r>
        <w:t xml:space="preserve"> </w:t>
      </w:r>
      <w:r>
        <w:t xml:space="preserve">cells as well. Enter a measured mouse value whenever possible.</w:t>
      </w:r>
    </w:p>
    <w:bookmarkStart w:id="127" w:name="step-1-scid-blood-to-plasma-ratio"/>
    <w:p>
      <w:pPr>
        <w:pStyle w:val="Heading4"/>
      </w:pPr>
      <w:r>
        <w:rPr>
          <w:rStyle w:val="SectionNumber"/>
        </w:rPr>
        <w:t xml:space="preserve">2.3.2.1</w:t>
      </w:r>
      <w:r>
        <w:tab/>
      </w:r>
      <w:r>
        <w:t xml:space="preserve">Step 1: SCID blood-to-plasma ratio</w:t>
      </w:r>
    </w:p>
    <w:p>
      <w:pPr>
        <w:pStyle w:val="FirstParagraph"/>
      </w:pPr>
      <w:r>
        <w:t xml:space="preserve">SCID mice are engrafted with human red blood cells (RBCs), so their blood is a</w:t>
      </w:r>
      <w:r>
        <w:t xml:space="preserve"> </w:t>
      </w:r>
      <w:r>
        <w:t xml:space="preserve">mixture of mouse and human RBCs suspended in mouse plasma. The effective B:P</w:t>
      </w:r>
      <w:r>
        <w:t xml:space="preserve"> </w:t>
      </w:r>
      <w:r>
        <w:t xml:space="preserve">ratio of SCID blood therefore differs from both species and must be derived</w:t>
      </w:r>
      <w:r>
        <w:t xml:space="preserve"> </w:t>
      </w:r>
      <w:r>
        <w:t xml:space="preserve">from first principles.</w:t>
      </w:r>
    </w:p>
    <w:p>
      <w:pPr>
        <w:pStyle w:val="BodyText"/>
      </w:pPr>
      <w:r>
        <w:t xml:space="preserve">First, the RBC partition coefficient</w:t>
      </w:r>
      <w:r>
        <w:t xml:space="preserve"> </w:t>
      </w:r>
      <m:oMath>
        <m:sSub>
          <m:e>
            <m:r>
              <m:t>K</m:t>
            </m:r>
          </m:e>
          <m:sub>
            <m:r>
              <m:t>p</m:t>
            </m:r>
            <m:r>
              <m:rPr>
                <m:sty m:val="p"/>
              </m:rPr>
              <m:t>,</m:t>
            </m:r>
            <m:r>
              <m:t>R</m:t>
            </m:r>
            <m:r>
              <m:t>B</m:t>
            </m:r>
            <m:r>
              <m:t>C</m:t>
            </m:r>
          </m:sub>
        </m:sSub>
      </m:oMath>
      <w:r>
        <w:t xml:space="preserve"> </w:t>
      </w:r>
      <w:r>
        <w:t xml:space="preserve">(ratio of drug concentration</w:t>
      </w:r>
      <w:r>
        <w:t xml:space="preserve"> </w:t>
      </w:r>
      <w:r>
        <w:t xml:space="preserve">in RBCs to drug concentration in plasma) is derived for each species from the</w:t>
      </w:r>
      <w:r>
        <w:t xml:space="preserve"> </w:t>
      </w:r>
      <w:r>
        <w:t xml:space="preserve">measured whole-blood B:P ratio and haematocrit</w:t>
      </w:r>
      <w:r>
        <w:t xml:space="preserve"> </w:t>
      </w:r>
      <m:oMath>
        <m:r>
          <m:t>H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K</m:t>
              </m:r>
            </m:e>
            <m:sub>
              <m:r>
                <m:t>p</m:t>
              </m:r>
              <m:r>
                <m:rPr>
                  <m:sty m:val="p"/>
                </m:rPr>
                <m:t>,</m:t>
              </m:r>
              <m:r>
                <m:t>R</m:t>
              </m:r>
              <m:r>
                <m:t>B</m:t>
              </m:r>
              <m:r>
                <m:t>C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B</m:t>
              </m:r>
              <m:r>
                <m:t>​</m:t>
              </m:r>
              <m:r>
                <m:rPr>
                  <m:sty m:val="p"/>
                </m:rPr>
                <m:t>:</m:t>
              </m:r>
              <m:r>
                <m:t>​</m:t>
              </m:r>
              <m:r>
                <m:t>P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H</m:t>
              </m:r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(clipped at zero if negative). Next, the SCID B:P ratio is assembled from the</w:t>
      </w:r>
      <w:r>
        <w:t xml:space="preserve"> </w:t>
      </w:r>
      <w:r>
        <w:t xml:space="preserve">contributions of the plasma fraction, the mouse RBCs, and the human RBCs. Let</w:t>
      </w:r>
      <w:r>
        <w:t xml:space="preserve"> </w:t>
      </w:r>
      <m:oMath>
        <m:r>
          <m:t>ϕ</m:t>
        </m:r>
        <m:r>
          <m:rPr>
            <m:sty m:val="p"/>
          </m:rPr>
          <m:t>=</m:t>
        </m:r>
        <m:r>
          <m:t>0.6</m:t>
        </m:r>
      </m:oMath>
      <w:r>
        <w:t xml:space="preserve"> </w:t>
      </w:r>
      <w:r>
        <w:t xml:space="preserve">be the fraction of SCID haematocrit that is human RBCs and</w:t>
      </w:r>
      <w:r>
        <w:t xml:space="preserve"> </w:t>
      </w:r>
      <m:oMath>
        <m:sSub>
          <m:e>
            <m:r>
              <m:t>H</m:t>
            </m:r>
          </m:e>
          <m:sub>
            <m:r>
              <m:t>S</m:t>
            </m:r>
            <m:r>
              <m:t>C</m:t>
            </m:r>
            <m:r>
              <m:t>I</m:t>
            </m:r>
            <m:r>
              <m:t>D</m:t>
            </m:r>
          </m:sub>
        </m:sSub>
        <m:r>
          <m:rPr>
            <m:sty m:val="p"/>
          </m:rPr>
          <m:t>=</m:t>
        </m:r>
        <m:r>
          <m:t>0.8</m:t>
        </m:r>
      </m:oMath>
      <w:r>
        <w:t xml:space="preserve"> </w:t>
      </w:r>
      <w:r>
        <w:t xml:space="preserve">the total SCID haematocrit: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t>​</m:t>
          </m:r>
          <m:r>
            <m:rPr>
              <m:sty m:val="p"/>
            </m:rPr>
            <m:t>:</m:t>
          </m:r>
          <m:r>
            <m:t>​</m:t>
          </m:r>
          <m:sSub>
            <m:e>
              <m:r>
                <m:t>P</m:t>
              </m:r>
            </m:e>
            <m:sub>
              <m:r>
                <m:t>S</m:t>
              </m:r>
              <m:r>
                <m:t>C</m:t>
              </m:r>
              <m:r>
                <m:t>I</m:t>
              </m:r>
              <m:r>
                <m:t>D</m:t>
              </m:r>
            </m:sub>
          </m:sSub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H</m:t>
                  </m:r>
                </m:e>
                <m:sub>
                  <m:r>
                    <m:t>S</m:t>
                  </m:r>
                  <m:r>
                    <m:t>C</m:t>
                  </m:r>
                  <m:r>
                    <m:t>I</m:t>
                  </m:r>
                  <m:r>
                    <m:t>D</m:t>
                  </m:r>
                </m:sub>
              </m:sSub>
            </m:e>
          </m:d>
          <m:r>
            <m:rPr>
              <m:sty m:val="p"/>
            </m:rPr>
            <m:t>+</m:t>
          </m:r>
          <m:sSub>
            <m:e>
              <m:r>
                <m:t>K</m:t>
              </m:r>
            </m:e>
            <m:sub>
              <m:r>
                <m:t>p</m:t>
              </m:r>
              <m:r>
                <m:rPr>
                  <m:sty m:val="p"/>
                </m:rPr>
                <m:t>,</m:t>
              </m:r>
              <m:r>
                <m:t>R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t>o</m:t>
              </m:r>
              <m:r>
                <m:t>u</m:t>
              </m:r>
              <m:r>
                <m:t>s</m:t>
              </m:r>
              <m:r>
                <m:t>e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H</m:t>
              </m:r>
            </m:e>
            <m:sub>
              <m:r>
                <m:t>S</m:t>
              </m:r>
              <m:r>
                <m:t>C</m:t>
              </m:r>
              <m:r>
                <m:t>I</m:t>
              </m:r>
              <m:r>
                <m:t>D</m:t>
              </m:r>
            </m:sub>
          </m:sSub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t>ϕ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ϕ</m:t>
              </m:r>
            </m:den>
          </m:f>
          <m:r>
            <m:rPr>
              <m:sty m:val="p"/>
            </m:rPr>
            <m:t>+</m:t>
          </m:r>
          <m:sSub>
            <m:e>
              <m:r>
                <m:t>K</m:t>
              </m:r>
            </m:e>
            <m:sub>
              <m:r>
                <m:t>p</m:t>
              </m:r>
              <m:r>
                <m:rPr>
                  <m:sty m:val="p"/>
                </m:rPr>
                <m:t>,</m:t>
              </m:r>
              <m:r>
                <m:t>R</m:t>
              </m:r>
              <m:r>
                <m:t>B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t>u</m:t>
              </m:r>
              <m:r>
                <m:t>m</m:t>
              </m:r>
              <m:r>
                <m:t>a</m:t>
              </m:r>
              <m:r>
                <m:t>n</m:t>
              </m:r>
            </m:sub>
          </m:sSub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t>o</m:t>
                  </m:r>
                  <m:r>
                    <m:t>u</m:t>
                  </m:r>
                  <m:r>
                    <m:t>s</m:t>
                  </m:r>
                  <m:r>
                    <m:t>e</m:t>
                  </m:r>
                </m:sub>
              </m:sSub>
            </m:num>
            <m:den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u</m:t>
                  </m:r>
                  <m:r>
                    <m:t>m</m:t>
                  </m:r>
                  <m:r>
                    <m:t>a</m:t>
                  </m:r>
                  <m:r>
                    <m:t>n</m:t>
                  </m:r>
                </m:sub>
              </m:sSub>
            </m:den>
          </m:f>
          <m:r>
            <m:rPr>
              <m:sty m:val="p"/>
            </m:rPr>
            <m:t>⋅</m:t>
          </m:r>
          <m:sSub>
            <m:e>
              <m:r>
                <m:t>H</m:t>
              </m:r>
            </m:e>
            <m:sub>
              <m:r>
                <m:t>S</m:t>
              </m:r>
              <m:r>
                <m:t>C</m:t>
              </m:r>
              <m:r>
                <m:t>I</m:t>
              </m:r>
              <m:r>
                <m:t>D</m:t>
              </m:r>
            </m:sub>
          </m:sSub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2</m:t>
              </m:r>
              <m:r>
                <m:t>ϕ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ϕ</m:t>
              </m:r>
            </m:den>
          </m:f>
        </m:oMath>
      </m:oMathPara>
    </w:p>
    <w:p>
      <w:pPr>
        <w:pStyle w:val="FirstParagraph"/>
      </w:pPr>
      <w:r>
        <w:t xml:space="preserve">The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m</m:t>
            </m:r>
            <m:r>
              <m:t>o</m:t>
            </m:r>
            <m:r>
              <m:t>u</m:t>
            </m:r>
            <m:r>
              <m:t>s</m:t>
            </m:r>
            <m:r>
              <m:t>e</m:t>
            </m:r>
          </m:sub>
        </m:sSub>
        <m:r>
          <m:rPr>
            <m:sty m:val="p"/>
          </m:rPr>
          <m:t>/</m:t>
        </m:r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</m:oMath>
      <w:r>
        <w:t xml:space="preserve"> </w:t>
      </w:r>
      <w:r>
        <w:t xml:space="preserve">factor on the human-RBC term arises because the</w:t>
      </w:r>
      <w:r>
        <w:t xml:space="preserve"> </w:t>
      </w:r>
      <w:r>
        <w:t xml:space="preserve">plasma surrounding all RBCs in SCID blood is mouse plasma: the human RBCs bind</w:t>
      </w:r>
      <w:r>
        <w:t xml:space="preserve"> </w:t>
      </w:r>
      <w:r>
        <w:t xml:space="preserve">drug in proportion to the free drug concentration in mouse plasma, which</w:t>
      </w:r>
      <w:r>
        <w:t xml:space="preserve"> </w:t>
      </w:r>
      <w:r>
        <w:t xml:space="preserve">differs from the free concentration that would be present in human plasma.</w:t>
      </w:r>
    </w:p>
    <w:bookmarkEnd w:id="127"/>
    <w:bookmarkStart w:id="128" w:name="Xf46cf4fb7750173c0f65344c745e12d64308adb"/>
    <w:p>
      <w:pPr>
        <w:pStyle w:val="Heading4"/>
      </w:pPr>
      <w:r>
        <w:rPr>
          <w:rStyle w:val="SectionNumber"/>
        </w:rPr>
        <w:t xml:space="preserve">2.3.2.2</w:t>
      </w:r>
      <w:r>
        <w:tab/>
      </w:r>
      <w:r>
        <w:t xml:space="preserve">Step 2: Conversion via free drug concentration</w:t>
      </w:r>
    </w:p>
    <w:p>
      <w:pPr>
        <w:pStyle w:val="FirstParagraph"/>
      </w:pPr>
      <w:r>
        <w:t xml:space="preserve">Free drug is the invariant between matrices at equilibrium. The measured SCID</w:t>
      </w:r>
      <w:r>
        <w:t xml:space="preserve"> </w:t>
      </w:r>
      <w:r>
        <w:t xml:space="preserve">blood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is first converted to free drug using the SCID B:P ratio and</w:t>
      </w:r>
      <w:r>
        <w:t xml:space="preserve"> </w:t>
      </w:r>
      <w:r>
        <w:t xml:space="preserve">mouse plasma protein binding (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m</m:t>
            </m:r>
            <m:r>
              <m:t>o</m:t>
            </m:r>
            <m:r>
              <m:t>u</m:t>
            </m:r>
            <m:r>
              <m:t>s</m:t>
            </m:r>
            <m:r>
              <m:t>e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r>
          <m:t>P</m:t>
        </m:r>
        <m:sSub>
          <m:e>
            <m:r>
              <m:t>B</m:t>
            </m:r>
          </m:e>
          <m:sub>
            <m:r>
              <m:t>m</m:t>
            </m:r>
            <m:r>
              <m:t>o</m:t>
            </m:r>
            <m:r>
              <m:t>u</m:t>
            </m:r>
            <m:r>
              <m:t>s</m:t>
            </m:r>
            <m:r>
              <m:t>e</m:t>
            </m:r>
          </m:sub>
        </m:sSub>
      </m:oMath>
      <w:r>
        <w:t xml:space="preserve">), then</w:t>
      </w:r>
      <w:r>
        <w:t xml:space="preserve"> </w:t>
      </w:r>
      <w:r>
        <w:t xml:space="preserve">re-expressed in human plasma using human plasma protein binding</w:t>
      </w:r>
      <w:r>
        <w:t xml:space="preserve"> </w:t>
      </w:r>
      <w:r>
        <w:t xml:space="preserve">(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r>
          <m:t>P</m:t>
        </m:r>
        <m:sSub>
          <m:e>
            <m:r>
              <m:t>B</m:t>
            </m:r>
          </m:e>
          <m:sub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</m:oMath>
      <w:r>
        <w:t xml:space="preserve">) and the human B:P ratio (</w:t>
      </w:r>
      <m:oMath>
        <m:r>
          <m:t>B</m:t>
        </m:r>
        <m:r>
          <m:t>​</m:t>
        </m:r>
        <m:r>
          <m:rPr>
            <m:sty m:val="p"/>
          </m:rPr>
          <m:t>:</m:t>
        </m:r>
        <m:r>
          <m:t>​</m:t>
        </m:r>
        <m:sSub>
          <m:e>
            <m:r>
              <m:t>P</m:t>
            </m:r>
          </m:e>
          <m:sub>
            <m:r>
              <m:t>h</m:t>
            </m:r>
            <m:r>
              <m:t>u</m:t>
            </m:r>
            <m:r>
              <m:t>m</m:t>
            </m:r>
            <m:r>
              <m:t>a</m:t>
            </m:r>
            <m:r>
              <m:t>n</m:t>
            </m:r>
          </m:sub>
        </m:sSub>
      </m:oMath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f</m:t>
              </m:r>
              <m:r>
                <m:t>r</m:t>
              </m:r>
              <m:r>
                <m:t>e</m:t>
              </m:r>
              <m:r>
                <m:t>e</m:t>
              </m:r>
            </m:sub>
          </m:sSub>
          <m:r>
            <m:rPr>
              <m:sty m:val="p"/>
            </m:rPr>
            <m:t>=</m:t>
          </m:r>
          <m:sSub>
            <m:e>
              <m:r>
                <m:t>C</m:t>
              </m:r>
            </m:e>
            <m:sub>
              <m:r>
                <m:t>S</m:t>
              </m:r>
              <m:r>
                <m:t>C</m:t>
              </m:r>
              <m:r>
                <m:t>I</m:t>
              </m:r>
              <m:r>
                <m:t>D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l</m:t>
              </m:r>
              <m:r>
                <m:t>o</m:t>
              </m:r>
              <m:r>
                <m:t>o</m:t>
              </m:r>
              <m:r>
                <m:t>d</m:t>
              </m:r>
            </m:sub>
          </m:sSub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t>o</m:t>
                  </m:r>
                  <m:r>
                    <m:t>u</m:t>
                  </m:r>
                  <m:r>
                    <m:t>s</m:t>
                  </m:r>
                  <m:r>
                    <m:t>e</m:t>
                  </m:r>
                </m:sub>
              </m:sSub>
            </m:num>
            <m:den>
              <m:r>
                <m:t>B</m:t>
              </m:r>
              <m:r>
                <m:t>​</m:t>
              </m:r>
              <m:r>
                <m:rPr>
                  <m:sty m:val="p"/>
                </m:rPr>
                <m:t>:</m:t>
              </m:r>
              <m:r>
                <m:t>​</m:t>
              </m:r>
              <m:sSub>
                <m:e>
                  <m:r>
                    <m:t>P</m:t>
                  </m:r>
                </m:e>
                <m:sub>
                  <m:r>
                    <m:t>S</m:t>
                  </m:r>
                  <m:r>
                    <m:t>C</m:t>
                  </m:r>
                  <m:r>
                    <m:t>I</m:t>
                  </m:r>
                  <m:r>
                    <m:t>D</m:t>
                  </m:r>
                </m:sub>
              </m:sSub>
            </m:den>
          </m:f>
        </m:oMath>
      </m:oMathPara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h</m:t>
              </m:r>
              <m:r>
                <m:t>u</m:t>
              </m:r>
              <m:r>
                <m:t>m</m:t>
              </m:r>
              <m:r>
                <m:t>a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t>l</m:t>
              </m:r>
              <m:r>
                <m:t>a</m:t>
              </m:r>
              <m:r>
                <m:t>s</m:t>
              </m:r>
              <m:r>
                <m:t>m</m:t>
              </m:r>
              <m:r>
                <m:t>a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sSub>
                <m:e>
                  <m:r>
                    <m:t>C</m:t>
                  </m:r>
                </m:e>
                <m:sub>
                  <m:r>
                    <m:t>f</m:t>
                  </m:r>
                  <m:r>
                    <m:t>r</m:t>
                  </m:r>
                  <m:r>
                    <m:t>e</m:t>
                  </m:r>
                  <m:r>
                    <m:t>e</m:t>
                  </m:r>
                </m:sub>
              </m:sSub>
            </m:num>
            <m:den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u</m:t>
                  </m:r>
                  <m:r>
                    <m:t>m</m:t>
                  </m:r>
                  <m:r>
                    <m:t>a</m:t>
                  </m:r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sSub>
            <m:e>
              <m:r>
                <m:t>C</m:t>
              </m:r>
            </m:e>
            <m:sub>
              <m:r>
                <m:t>S</m:t>
              </m:r>
              <m:r>
                <m:t>C</m:t>
              </m:r>
              <m:r>
                <m:t>I</m:t>
              </m:r>
              <m:r>
                <m:t>D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l</m:t>
              </m:r>
              <m:r>
                <m:t>o</m:t>
              </m:r>
              <m:r>
                <m:t>o</m:t>
              </m:r>
              <m:r>
                <m:t>d</m:t>
              </m:r>
            </m:sub>
          </m:sSub>
          <m:r>
            <m:rPr>
              <m:sty m:val="p"/>
            </m:rPr>
            <m:t>⋅</m:t>
          </m:r>
          <m:f>
            <m:fPr>
              <m:type m:val="bar"/>
            </m:fPr>
            <m:num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  <m:r>
                    <m:t>o</m:t>
                  </m:r>
                  <m:r>
                    <m:t>u</m:t>
                  </m:r>
                  <m:r>
                    <m:t>s</m:t>
                  </m:r>
                  <m:r>
                    <m:t>e</m:t>
                  </m:r>
                </m:sub>
              </m:sSub>
            </m:num>
            <m:den>
              <m:sSub>
                <m:e>
                  <m:r>
                    <m:t>f</m:t>
                  </m:r>
                </m:e>
                <m:sub>
                  <m:r>
                    <m:t>u</m:t>
                  </m:r>
                  <m:r>
                    <m:rPr>
                      <m:sty m:val="p"/>
                    </m:rPr>
                    <m:t>,</m:t>
                  </m:r>
                  <m:r>
                    <m:t>h</m:t>
                  </m:r>
                  <m:r>
                    <m:t>u</m:t>
                  </m:r>
                  <m:r>
                    <m:t>m</m:t>
                  </m:r>
                  <m:r>
                    <m:t>a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⋅</m:t>
              </m:r>
              <m:r>
                <m:t>B</m:t>
              </m:r>
              <m:r>
                <m:t>​</m:t>
              </m:r>
              <m:r>
                <m:rPr>
                  <m:sty m:val="p"/>
                </m:rPr>
                <m:t>:</m:t>
              </m:r>
              <m:r>
                <m:t>​</m:t>
              </m:r>
              <m:sSub>
                <m:e>
                  <m:r>
                    <m:t>P</m:t>
                  </m:r>
                </m:e>
                <m:sub>
                  <m:r>
                    <m:t>S</m:t>
                  </m:r>
                  <m:r>
                    <m:t>C</m:t>
                  </m:r>
                  <m:r>
                    <m:t>I</m:t>
                  </m:r>
                  <m:r>
                    <m:t>D</m:t>
                  </m:r>
                </m:sub>
              </m:sSub>
            </m:den>
          </m:f>
        </m:oMath>
      </m:oMathPara>
    </w:p>
    <w:bookmarkEnd w:id="128"/>
    <w:bookmarkStart w:id="129" w:name="Xaa673fb37eff2be3b0bc5083cdc3c13a7c640ee"/>
    <w:p>
      <w:pPr>
        <w:pStyle w:val="Heading4"/>
      </w:pPr>
      <w:r>
        <w:rPr>
          <w:rStyle w:val="SectionNumber"/>
        </w:rPr>
        <w:t xml:space="preserve">2.3.2.3</w:t>
      </w:r>
      <w:r>
        <w:tab/>
      </w:r>
      <w:r>
        <w:t xml:space="preserve">Step 3: Hill coefficient,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, MPC</w:t>
      </w:r>
      <w:r>
        <w:rPr>
          <w:vertAlign w:val="subscript"/>
        </w:rPr>
        <w:t xml:space="preserve">90</w:t>
      </w:r>
      <w:r>
        <w:t xml:space="preserve"> </w:t>
      </w:r>
      <w:r>
        <w:t xml:space="preserve">and MIC</w:t>
      </w:r>
    </w:p>
    <w:p>
      <w:pPr>
        <w:pStyle w:val="FirstParagraph"/>
      </w:pPr>
      <w:r>
        <w:t xml:space="preserve">The Hill coefficient for the SCID-derived PD is the value in the</w:t>
      </w:r>
      <w:r>
        <w:t xml:space="preserve"> </w:t>
      </w:r>
      <w:r>
        <w:rPr>
          <w:bCs/>
          <w:b/>
        </w:rPr>
        <w:t xml:space="preserve">PD in SCID</w:t>
      </w:r>
      <w:r>
        <w:t xml:space="preserve"> </w:t>
      </w:r>
      <w:r>
        <w:t xml:space="preserve">input group, which is pre-filled with a default of 3 (accepted</w:t>
      </w:r>
      <w:r>
        <w:t xml:space="preserve"> </w:t>
      </w:r>
      <w:r>
        <w:t xml:space="preserve">range 0.1 to 10). Unlike the in vitro Hill coefficient, it is not capped at</w:t>
      </w:r>
      <w:r>
        <w:t xml:space="preserve"> </w:t>
      </w:r>
      <w:r>
        <w:t xml:space="preserve">7.9.</w:t>
      </w:r>
    </w:p>
    <w:p>
      <w:pPr>
        <w:pStyle w:val="BodyText"/>
      </w:pP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 </w:t>
      </w:r>
      <w:r>
        <w:t xml:space="preserve">and the patient growth rate</w:t>
      </w:r>
      <w:r>
        <w:t xml:space="preserve"> </w:t>
      </w:r>
      <m:oMath>
        <m:r>
          <m:t>G</m:t>
        </m:r>
        <m:r>
          <m:t>R</m:t>
        </m:r>
      </m:oMath>
      <w:r>
        <w:t xml:space="preserve"> </w:t>
      </w:r>
      <w:r>
        <w:t xml:space="preserve">are not derived from SCID data:</w:t>
      </w:r>
      <w:r>
        <w:t xml:space="preserve"> </w:t>
      </w:r>
      <w:r>
        <w:t xml:space="preserve">the same values as for the in vitro based prediction are used, i.e. 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 </w:t>
      </w:r>
      <w:r>
        <w:t xml:space="preserve">is calculated from the in vitro PRR (see above). MPC</w:t>
      </w:r>
      <w:r>
        <w:rPr>
          <w:vertAlign w:val="subscript"/>
        </w:rPr>
        <w:t xml:space="preserve">90</w:t>
      </w:r>
      <w:r>
        <w:t xml:space="preserve"> </w:t>
      </w:r>
      <w:r>
        <w:t xml:space="preserve">and MIC are then</w:t>
      </w:r>
      <w:r>
        <w:t xml:space="preserve"> </w:t>
      </w:r>
      <w:r>
        <w:t xml:space="preserve">derived from the SCID</w:t>
      </w:r>
      <w:r>
        <w:t xml:space="preserve"> </w:t>
      </w:r>
      <m:oMath>
        <m:r>
          <m:t>E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with the same equations as for the in</w:t>
      </w:r>
      <w:r>
        <w:t xml:space="preserve"> </w:t>
      </w:r>
      <w:r>
        <w:t xml:space="preserve">vitro data, and are expressed in human plasma concentration units. Because</w:t>
      </w:r>
      <w:r>
        <w:t xml:space="preserve"> </w:t>
      </w:r>
      <m:oMath>
        <m:sSub>
          <m:e>
            <m:r>
              <m:t>E</m:t>
            </m:r>
          </m:e>
          <m:sub>
            <m:r>
              <m:t>M</m:t>
            </m:r>
            <m:r>
              <m:t>A</m:t>
            </m:r>
            <m:r>
              <m:t>X</m:t>
            </m:r>
          </m:sub>
        </m:sSub>
      </m:oMath>
      <w:r>
        <w:t xml:space="preserve"> </w:t>
      </w:r>
      <w:r>
        <w:t xml:space="preserve">depends on the in vitro PRR (default 3), changing the PRR in the</w:t>
      </w:r>
      <w:r>
        <w:t xml:space="preserve"> </w:t>
      </w:r>
      <w:r>
        <w:rPr>
          <w:bCs/>
          <w:b/>
        </w:rPr>
        <w:t xml:space="preserve">PD in vitro</w:t>
      </w:r>
      <w:r>
        <w:t xml:space="preserve"> </w:t>
      </w:r>
      <w:r>
        <w:t xml:space="preserve">input group also changes the SCID-derived MIC, even if no in</w:t>
      </w:r>
      <w:r>
        <w:t xml:space="preserve"> </w:t>
      </w:r>
      <w:r>
        <w:t xml:space="preserve">vitro</w:t>
      </w:r>
      <w:r>
        <w:t xml:space="preserve"> </w:t>
      </w:r>
      <m:oMath>
        <m:r>
          <m:t>I</m:t>
        </m:r>
        <m:sSub>
          <m:e>
            <m:r>
              <m:t>C</m:t>
            </m:r>
          </m:e>
          <m:sub>
            <m:r>
              <m:t>50</m:t>
            </m:r>
          </m:sub>
        </m:sSub>
      </m:oMath>
      <w:r>
        <w:t xml:space="preserve"> </w:t>
      </w:r>
      <w:r>
        <w:t xml:space="preserve">is entered.</w:t>
      </w:r>
    </w:p>
    <w:bookmarkEnd w:id="129"/>
    <w:bookmarkEnd w:id="130"/>
    <w:bookmarkEnd w:id="131"/>
    <w:bookmarkStart w:id="132" w:name="constants"/>
    <w:p>
      <w:pPr>
        <w:pStyle w:val="Heading2"/>
      </w:pPr>
      <w:r>
        <w:rPr>
          <w:rStyle w:val="SectionNumber"/>
        </w:rPr>
        <w:t xml:space="preserve">2.4</w:t>
      </w:r>
      <w:r>
        <w:tab/>
      </w:r>
      <w:r>
        <w:t xml:space="preserve">Physiological Constants</w:t>
      </w:r>
    </w:p>
    <w:p>
      <w:pPr>
        <w:pStyle w:val="FirstParagraph"/>
      </w:pPr>
      <w:r>
        <w:t xml:space="preserve">The constants below are fixed in MMVSola and used in all clearance and volume</w:t>
      </w:r>
      <w:r>
        <w:t xml:space="preserve"> </w:t>
      </w:r>
      <w:r>
        <w:t xml:space="preserve">predictions. They appear in the Additional Information sheet of the downloaded</w:t>
      </w:r>
      <w:r>
        <w:t xml:space="preserve"> </w:t>
      </w:r>
      <w:r>
        <w:t xml:space="preserve">Excel report.</w:t>
      </w:r>
    </w:p>
    <w:p>
      <w:pPr>
        <w:pStyle w:val="BodyText"/>
      </w:pPr>
      <w:r>
        <w:rPr>
          <w:bCs/>
          <w:b/>
        </w:rPr>
        <w:t xml:space="preserve">Species physiological constants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93"/>
        <w:gridCol w:w="1205"/>
        <w:gridCol w:w="860"/>
        <w:gridCol w:w="860"/>
        <w:gridCol w:w="1205"/>
        <w:gridCol w:w="1893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Mouse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Rat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Dog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Human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Body weight (kg)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9.8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Avg. weight of African adults from clinical trial datasets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Liver weight (g/kg BW)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51.4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Tess et al. </w:t>
            </w:r>
            <w:r>
              <w:rPr>
                <w:iCs/>
                <w:i/>
              </w:rPr>
              <w:t xml:space="preserve">Pharm. Res.</w:t>
            </w:r>
            <w:r>
              <w:t xml:space="preserve"> </w:t>
            </w:r>
            <w:r>
              <w:t xml:space="preserve">2022; Liang et al. </w:t>
            </w:r>
            <w:r>
              <w:rPr>
                <w:iCs/>
                <w:i/>
              </w:rPr>
              <w:t xml:space="preserve">Drug Metab. Dispos.</w:t>
            </w:r>
            <w:r>
              <w:t xml:space="preserve"> </w:t>
            </w:r>
            <w:r>
              <w:t xml:space="preserve">2020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Hepatic blood flow (mL/min/kg)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Hepatocytes (10</w:t>
            </w:r>
            <w:r>
              <w:rPr>
                <w:vertAlign w:val="superscript"/>
              </w:rPr>
              <w:t xml:space="preserve">6</w:t>
            </w:r>
            <w:r>
              <w:t xml:space="preserve"> </w:t>
            </w:r>
            <w:r>
              <w:t xml:space="preserve">cells/g liver)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Tess et al. </w:t>
            </w:r>
            <w:r>
              <w:rPr>
                <w:iCs/>
                <w:i/>
              </w:rPr>
              <w:t xml:space="preserve">Pharm. Res.</w:t>
            </w:r>
            <w:r>
              <w:t xml:space="preserve"> </w:t>
            </w:r>
            <w:r>
              <w:t xml:space="preserve">2022; Liang et al. </w:t>
            </w:r>
            <w:r>
              <w:rPr>
                <w:iCs/>
                <w:i/>
              </w:rPr>
              <w:t xml:space="preserve">Drug Metab. Dispos.</w:t>
            </w:r>
            <w:r>
              <w:t xml:space="preserve"> </w:t>
            </w:r>
            <w:r>
              <w:t xml:space="preserve">2020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Microsomal protein (mg/g liver)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Tess et al. </w:t>
            </w:r>
            <w:r>
              <w:rPr>
                <w:iCs/>
                <w:i/>
              </w:rPr>
              <w:t xml:space="preserve">Pharm. Res.</w:t>
            </w:r>
            <w:r>
              <w:t xml:space="preserve"> </w:t>
            </w:r>
            <w:r>
              <w:t xml:space="preserve">2022; Vasilogianni et al. </w:t>
            </w:r>
            <w:r>
              <w:rPr>
                <w:iCs/>
                <w:i/>
              </w:rPr>
              <w:t xml:space="preserve">Drug Metab. Dispos.</w:t>
            </w:r>
            <w:r>
              <w:t xml:space="preserve"> </w:t>
            </w:r>
            <w:r>
              <w:t xml:space="preserve">2021</w:t>
            </w:r>
          </w:p>
        </w:tc>
      </w:tr>
    </w:tbl>
    <w:p>
      <w:pPr>
        <w:pStyle w:val="BodyText"/>
      </w:pPr>
      <w:r>
        <w:rPr>
          <w:bCs/>
          <w:b/>
        </w:rPr>
        <w:t xml:space="preserve">Default assay conditions</w:t>
      </w:r>
      <w:r>
        <w:t xml:space="preserve"> </w:t>
      </w:r>
      <w:r>
        <w:t xml:space="preserve">(used when not entered by the user)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Default concentration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Hepatocyte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Human, Rat, Dog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× 10</w:t>
            </w:r>
            <w:r>
              <w:rPr>
                <w:vertAlign w:val="superscript"/>
              </w:rPr>
              <w:t xml:space="preserve">6</w:t>
            </w:r>
            <w:r>
              <w:t xml:space="preserve"> </w:t>
            </w:r>
            <w:r>
              <w:t xml:space="preserve">cells/mL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Hepatocyte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 × 10</w:t>
            </w:r>
            <w:r>
              <w:rPr>
                <w:vertAlign w:val="superscript"/>
              </w:rPr>
              <w:t xml:space="preserve">6</w:t>
            </w:r>
            <w:r>
              <w:t xml:space="preserve"> </w:t>
            </w:r>
            <w:r>
              <w:t xml:space="preserve">cells/mL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Microsome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species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 mg protein/mL</w:t>
            </w:r>
          </w:p>
        </w:tc>
      </w:tr>
    </w:tbl>
    <w:p>
      <w:pPr>
        <w:pStyle w:val="BodyText"/>
      </w:pPr>
      <w:r>
        <w:rPr>
          <w:bCs/>
          <w:b/>
        </w:rPr>
        <w:t xml:space="preserve">PD constants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484"/>
        <w:gridCol w:w="2217"/>
        <w:gridCol w:w="221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 net parasite growth rate (</w:t>
            </w:r>
            <w:r>
              <w:rPr>
                <w:iCs/>
                <w:i/>
              </w:rPr>
              <w:t xml:space="preserve">GR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 vitro net parasite growth rate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0.048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Baseline parasitemia at start of simulation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ln(10</w:t>
            </w:r>
            <w:r>
              <w:rPr>
                <w:vertAlign w:val="superscript"/>
              </w:rPr>
              <w:t xml:space="preserve">12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ln(parasites/mL)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Human haematocrit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Mouse haematocrit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SCID mouse total haematocrit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Fraction of human RBCs in SCID blood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Duration of in vitro PRR assay (time for PRR</w:t>
            </w:r>
            <w:r>
              <w:rPr>
                <w:vertAlign w:val="subscript"/>
              </w:rPr>
              <w:t xml:space="preserve">48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</w:tbl>
    <w:p>
      <w:pPr>
        <w:pStyle w:val="BodyText"/>
      </w:pPr>
      <w:r>
        <w:rPr>
          <w:bCs/>
          <w:b/>
        </w:rPr>
        <w:t xml:space="preserve">Allometric scaling constants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Allometric slope, minimum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Allometric slope, maximum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0.85</w:t>
            </w:r>
          </w:p>
        </w:tc>
      </w:tr>
    </w:tbl>
    <w:bookmarkEnd w:id="132"/>
    <w:bookmarkEnd w:id="133"/>
    <w:bookmarkStart w:id="138" w:name="dose-prediction"/>
    <w:p>
      <w:pPr>
        <w:pStyle w:val="Heading1"/>
      </w:pPr>
      <w:r>
        <w:rPr>
          <w:rStyle w:val="SectionNumber"/>
        </w:rPr>
        <w:t xml:space="preserve">3</w:t>
      </w:r>
      <w:r>
        <w:tab/>
      </w:r>
      <w:r>
        <w:t xml:space="preserve">Dose Prediction</w:t>
      </w:r>
    </w:p>
    <w:p>
      <w:pPr>
        <w:pStyle w:val="FirstParagraph"/>
      </w:pPr>
      <w:r>
        <w:t xml:space="preserve">Once the human PK and PD parameters have been predicted</w:t>
      </w:r>
      <w:r>
        <w:t xml:space="preserve"> </w:t>
      </w:r>
      <w:r>
        <w:t xml:space="preserve">(Sections</w:t>
      </w:r>
      <w:r>
        <w:t xml:space="preserve"> </w:t>
      </w:r>
      <w:r>
        <w:t xml:space="preserve">2.2</w:t>
      </w:r>
      <w:r>
        <w:t xml:space="preserve"> </w:t>
      </w:r>
      <w:r>
        <w:t xml:space="preserve">and</w:t>
      </w:r>
      <w:r>
        <w:t xml:space="preserve"> </w:t>
      </w:r>
      <w:r>
        <w:t xml:space="preserve">2.3</w:t>
      </w:r>
      <w:r>
        <w:t xml:space="preserve">)</w:t>
      </w:r>
      <w:r>
        <w:t xml:space="preserve"> </w:t>
      </w:r>
      <w:r>
        <w:t xml:space="preserve">and combined into the PK/PD model of Section</w:t>
      </w:r>
      <w:r>
        <w:t xml:space="preserve"> </w:t>
      </w:r>
      <w:r>
        <w:t xml:space="preserve">2.1</w:t>
      </w:r>
      <w:r>
        <w:t xml:space="preserve">, MMVSola searches for the dose that</w:t>
      </w:r>
      <w:r>
        <w:t xml:space="preserve"> </w:t>
      </w:r>
      <w:r>
        <w:t xml:space="preserve">makes the simulated profile satisfy a target</w:t>
      </w:r>
      <w:r>
        <w:t xml:space="preserve"> </w:t>
      </w:r>
      <w:r>
        <w:rPr>
          <w:bCs/>
          <w:b/>
        </w:rPr>
        <w:t xml:space="preserve">dose criterion</w:t>
      </w:r>
      <w:r>
        <w:t xml:space="preserve"> </w:t>
      </w:r>
      <w:r>
        <w:t xml:space="preserve">- for</w:t>
      </w:r>
      <w:r>
        <w:t xml:space="preserve"> </w:t>
      </w:r>
      <w:r>
        <w:t xml:space="preserve">example</w:t>
      </w:r>
      <w:r>
        <w:t xml:space="preserve"> </w:t>
      </w:r>
      <w:r>
        <w:t xml:space="preserve">“</w:t>
      </w:r>
      <w:r>
        <w:t xml:space="preserve">achieve a 12-log reduction in parasitemia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keep the plasma</w:t>
      </w:r>
      <w:r>
        <w:t xml:space="preserve"> </w:t>
      </w:r>
      <w:r>
        <w:t xml:space="preserve">concentration above the MIC for 28 days</w:t>
      </w:r>
      <w:r>
        <w:t xml:space="preserve">”</w:t>
      </w:r>
      <w:r>
        <w:t xml:space="preserve">. A separate set of criteria is</w:t>
      </w:r>
      <w:r>
        <w:t xml:space="preserve"> </w:t>
      </w:r>
      <w:r>
        <w:t xml:space="preserve">evaluated for the Oral and the LAI route, because the two routes target</w:t>
      </w:r>
      <w:r>
        <w:t xml:space="preserve"> </w:t>
      </w:r>
      <w:r>
        <w:t xml:space="preserve">different treatment use cases (single/short treatment courses vs. long-term</w:t>
      </w:r>
      <w:r>
        <w:t xml:space="preserve"> </w:t>
      </w:r>
      <w:r>
        <w:t xml:space="preserve">chemoprevention) and are simulated with different dosing regimens.</w:t>
      </w:r>
    </w:p>
    <w:bookmarkStart w:id="134" w:name="oral-dose-criteria"/>
    <w:p>
      <w:pPr>
        <w:pStyle w:val="Heading2"/>
      </w:pPr>
      <w:r>
        <w:rPr>
          <w:rStyle w:val="SectionNumber"/>
        </w:rPr>
        <w:t xml:space="preserve">3.1</w:t>
      </w:r>
      <w:r>
        <w:tab/>
      </w:r>
      <w:r>
        <w:t xml:space="preserve">Oral Dose Criteria</w:t>
      </w:r>
    </w:p>
    <w:p>
      <w:pPr>
        <w:pStyle w:val="FirstParagraph"/>
      </w:pPr>
      <w:r>
        <w:t xml:space="preserve">For the Oral route, MMVSola searches for the dose that meets each of three</w:t>
      </w:r>
      <w:r>
        <w:t xml:space="preserve"> </w:t>
      </w:r>
      <w:r>
        <w:t xml:space="preserve">criteria, reflecting the two main malaria drug use cases -</w:t>
      </w:r>
      <w:r>
        <w:t xml:space="preserve"> </w:t>
      </w:r>
      <w:r>
        <w:t xml:space="preserve">treatment and prophylaxis: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Dose12 - 12-log</w:t>
      </w:r>
      <w:r>
        <w:rPr>
          <w:vertAlign w:val="subscript"/>
          <w:bCs/>
          <w:b/>
        </w:rPr>
        <w:t xml:space="preserve">10</w:t>
      </w:r>
      <w:r>
        <w:rPr>
          <w:bCs/>
          <w:b/>
        </w:rPr>
        <w:t xml:space="preserve"> </w:t>
      </w:r>
      <w:r>
        <w:rPr>
          <w:bCs/>
          <w:b/>
        </w:rPr>
        <w:t xml:space="preserve">kill (treatment).</w:t>
      </w:r>
      <w:r>
        <w:t xml:space="preserve"> </w:t>
      </w:r>
      <w:r>
        <w:t xml:space="preserve">The dose predicted to</w:t>
      </w:r>
      <w:r>
        <w:t xml:space="preserve"> </w:t>
      </w:r>
      <w:r>
        <w:t xml:space="preserve">reduce the simulated parasitemia by 12 orders of magnitude</w:t>
      </w:r>
      <w:r>
        <w:t xml:space="preserve"> </w:t>
      </w:r>
      <w:r>
        <w:t xml:space="preserve">(a total parasite reduction ratio, PRR</w:t>
      </w:r>
      <w:r>
        <w:rPr>
          <w:vertAlign w:val="subscript"/>
        </w:rPr>
        <w:t xml:space="preserve">tot</w:t>
      </w:r>
      <w:r>
        <w:t xml:space="preserve">, of 12.02 on the log</w:t>
      </w:r>
      <w:r>
        <w:rPr>
          <w:vertAlign w:val="subscript"/>
        </w:rPr>
        <w:t xml:space="preserve">10</w:t>
      </w:r>
      <w:r>
        <w:t xml:space="preserve"> </w:t>
      </w:r>
      <w:r>
        <w:t xml:space="preserve">scale) over the simulated dosing course. This reflects the parasite burden</w:t>
      </w:r>
      <w:r>
        <w:t xml:space="preserve"> </w:t>
      </w:r>
      <w:r>
        <w:t xml:space="preserve">reduction generally considered necessary to cure an infection.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DoseMIC21 - time above MIC for 21 days (prophylaxis).</w:t>
      </w:r>
      <w:r>
        <w:t xml:space="preserve"> </w:t>
      </w:r>
      <w:r>
        <w:t xml:space="preserve">The</w:t>
      </w:r>
      <w:r>
        <w:t xml:space="preserve"> </w:t>
      </w:r>
      <w:r>
        <w:t xml:space="preserve">dose predicted to keep the plasma concentration above the minimum</w:t>
      </w:r>
      <w:r>
        <w:t xml:space="preserve"> </w:t>
      </w:r>
      <w:r>
        <w:t xml:space="preserve">inhibitory concentration (MIC, Section</w:t>
      </w:r>
      <w:r>
        <w:t xml:space="preserve"> </w:t>
      </w:r>
      <w:r>
        <w:t xml:space="preserve">2.3.1.3</w:t>
      </w:r>
      <w:r>
        <w:t xml:space="preserve">) during an</w:t>
      </w:r>
      <w:r>
        <w:t xml:space="preserve"> </w:t>
      </w:r>
      <w:r>
        <w:t xml:space="preserve">uninterrupted period of 21 days (see</w:t>
      </w:r>
      <w:r>
        <w:t xml:space="preserve"> </w:t>
      </w:r>
      <w:r>
        <w:t xml:space="preserve">“</w:t>
      </w:r>
      <w:r>
        <w:t xml:space="preserve">Coverage time</w:t>
      </w:r>
      <w:r>
        <w:t xml:space="preserve">”</w:t>
      </w:r>
      <w:r>
        <w:t xml:space="preserve"> </w:t>
      </w:r>
      <w:r>
        <w:t xml:space="preserve">below).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DoseMIC28 - time above MIC for 28 days (prophylaxis).</w:t>
      </w:r>
      <w:r>
        <w:t xml:space="preserve"> </w:t>
      </w:r>
      <w:r>
        <w:t xml:space="preserve">The</w:t>
      </w:r>
      <w:r>
        <w:t xml:space="preserve"> </w:t>
      </w:r>
      <w:r>
        <w:t xml:space="preserve">same criterion as DoseMIC21, but targeting 28 days of coverage - a common</w:t>
      </w:r>
      <w:r>
        <w:t xml:space="preserve"> </w:t>
      </w:r>
      <w:r>
        <w:t xml:space="preserve">chemoprevention target reflecting a one-month dosing interval.</w:t>
      </w:r>
    </w:p>
    <w:p>
      <w:pPr>
        <w:pStyle w:val="FirstParagraph"/>
      </w:pPr>
      <w:r>
        <w:t xml:space="preserve">These three doses are simulated with the regimen configured by the user in</w:t>
      </w:r>
      <w:r>
        <w:t xml:space="preserve"> </w:t>
      </w:r>
      <w:r>
        <w:rPr>
          <w:bCs/>
          <w:b/>
        </w:rPr>
        <w:t xml:space="preserve">Simulation parameters</w:t>
      </w:r>
      <w:r>
        <w:t xml:space="preserve"> </w:t>
      </w:r>
      <w:r>
        <w:t xml:space="preserve">(number of doses and dosing interval for the human</w:t>
      </w:r>
      <w:r>
        <w:t xml:space="preserve"> </w:t>
      </w:r>
      <w:r>
        <w:t xml:space="preserve">oral route, Step 2 of Section</w:t>
      </w:r>
      <w:r>
        <w:t xml:space="preserve"> </w:t>
      </w:r>
      <w:r>
        <w:t xml:space="preserve">1</w:t>
      </w:r>
      <w:r>
        <w:t xml:space="preserve">) over a simulated time</w:t>
      </w:r>
      <w:r>
        <w:t xml:space="preserve"> </w:t>
      </w:r>
      <w:r>
        <w:t xml:space="preserve">course of 30 days.</w:t>
      </w:r>
    </w:p>
    <w:bookmarkEnd w:id="134"/>
    <w:bookmarkStart w:id="135" w:name="lai-dose-criteria"/>
    <w:p>
      <w:pPr>
        <w:pStyle w:val="Heading2"/>
      </w:pPr>
      <w:r>
        <w:rPr>
          <w:rStyle w:val="SectionNumber"/>
        </w:rPr>
        <w:t xml:space="preserve">3.2</w:t>
      </w:r>
      <w:r>
        <w:tab/>
      </w:r>
      <w:r>
        <w:t xml:space="preserve">LAI Dose Criteria</w:t>
      </w:r>
    </w:p>
    <w:p>
      <w:pPr>
        <w:pStyle w:val="FirstParagraph"/>
      </w:pPr>
      <w:r>
        <w:t xml:space="preserve">For the LAI route, MMVSola searches for the single dose that keeps the</w:t>
      </w:r>
      <w:r>
        <w:t xml:space="preserve"> </w:t>
      </w:r>
      <w:r>
        <w:t xml:space="preserve">plasma concentration above the MIC for two chemoprevention coverage targets: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DoseMIC90</w:t>
      </w:r>
      <w:r>
        <w:t xml:space="preserve"> </w:t>
      </w:r>
      <w:r>
        <w:t xml:space="preserve">- time above MIC for 90 days.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DoseMIC180</w:t>
      </w:r>
      <w:r>
        <w:t xml:space="preserve"> </w:t>
      </w:r>
      <w:r>
        <w:t xml:space="preserve">- time above MIC for 180 days.</w:t>
      </w:r>
    </w:p>
    <w:p>
      <w:pPr>
        <w:pStyle w:val="FirstParagraph"/>
      </w:pPr>
      <w:r>
        <w:t xml:space="preserve">Because the absorption profile of an LAI formulation is not directly</w:t>
      </w:r>
      <w:r>
        <w:t xml:space="preserve"> </w:t>
      </w:r>
      <w:r>
        <w:t xml:space="preserve">measured for the candidate compound, MMVSola predicts each of these doses</w:t>
      </w:r>
      <w:r>
        <w:t xml:space="preserve"> </w:t>
      </w:r>
      <w:r>
        <w:t xml:space="preserve">under four scenarios, combining:</w:t>
      </w:r>
    </w:p>
    <w:p>
      <w:pPr>
        <w:numPr>
          <w:ilvl w:val="0"/>
          <w:numId w:val="1013"/>
        </w:numPr>
        <w:pStyle w:val="Compact"/>
      </w:pPr>
      <w:r>
        <w:t xml:space="preserve">an</w:t>
      </w:r>
      <w:r>
        <w:t xml:space="preserve"> </w:t>
      </w:r>
      <w:r>
        <w:rPr>
          <w:bCs/>
          <w:b/>
        </w:rPr>
        <w:t xml:space="preserve">absorption-rate scenario</w:t>
      </w:r>
      <w:r>
        <w:t xml:space="preserve"> </w:t>
      </w:r>
      <w:r>
        <w:t xml:space="preserve">-</w:t>
      </w:r>
      <w:r>
        <w:t xml:space="preserve"> </w:t>
      </w:r>
      <w:r>
        <w:t xml:space="preserve">“</w:t>
      </w:r>
      <w:r>
        <w:t xml:space="preserve">fast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slow</w:t>
      </w:r>
      <w:r>
        <w:t xml:space="preserve">”</w:t>
      </w:r>
      <w:r>
        <w:t xml:space="preserve">, using the reference</w:t>
      </w:r>
      <w:r>
        <w:t xml:space="preserve"> </w:t>
      </w:r>
      <w:r>
        <w:t xml:space="preserve">absorption rate constants (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) described in Section</w:t>
      </w:r>
      <w:r>
        <w:t xml:space="preserve"> </w:t>
      </w:r>
      <w:r>
        <w:t xml:space="preserve">2.2.1</w:t>
      </w:r>
      <w:r>
        <w:t xml:space="preserve"> </w:t>
      </w:r>
      <w:r>
        <w:t xml:space="preserve">and entered under</w:t>
      </w:r>
      <w:r>
        <w:t xml:space="preserve"> </w:t>
      </w:r>
      <w:r>
        <w:rPr>
          <w:bCs/>
          <w:b/>
        </w:rPr>
        <w:t xml:space="preserve">Simulation parameters</w:t>
      </w:r>
      <w:r>
        <w:t xml:space="preserve"> </w:t>
      </w:r>
      <w:r>
        <w:t xml:space="preserve">(LAI fast / LAI slow,</w:t>
      </w:r>
      <w:r>
        <w:t xml:space="preserve"> </w:t>
      </w:r>
      <w:r>
        <w:t xml:space="preserve">Step 2 of Section</w:t>
      </w:r>
      <w:r>
        <w:t xml:space="preserve"> </w:t>
      </w:r>
      <w:r>
        <w:t xml:space="preserve">1</w:t>
      </w:r>
      <w:r>
        <w:t xml:space="preserve">); and</w:t>
      </w:r>
    </w:p>
    <w:p>
      <w:pPr>
        <w:numPr>
          <w:ilvl w:val="0"/>
          <w:numId w:val="1013"/>
        </w:numPr>
        <w:pStyle w:val="Compact"/>
      </w:pPr>
      <w:r>
        <w:t xml:space="preserve">a</w:t>
      </w:r>
      <w:r>
        <w:t xml:space="preserve"> </w:t>
      </w:r>
      <w:r>
        <w:rPr>
          <w:bCs/>
          <w:b/>
        </w:rPr>
        <w:t xml:space="preserve">PD parameter source</w:t>
      </w:r>
      <w:r>
        <w:t xml:space="preserve"> </w:t>
      </w:r>
      <w:r>
        <w:t xml:space="preserve">-</w:t>
      </w:r>
      <w:r>
        <w:t xml:space="preserve"> </w:t>
      </w:r>
      <w:r>
        <w:t xml:space="preserve">“</w:t>
      </w:r>
      <w:r>
        <w:t xml:space="preserve">in vitro</w:t>
      </w:r>
      <w:r>
        <w:t xml:space="preserve">”</w:t>
      </w:r>
      <w:r>
        <w:t xml:space="preserve"> </w:t>
      </w:r>
      <w:r>
        <w:t xml:space="preserve">(from growth-inhibition and PRR</w:t>
      </w:r>
      <w:r>
        <w:t xml:space="preserve"> </w:t>
      </w:r>
      <w:r>
        <w:t xml:space="preserve">assay data) or</w:t>
      </w:r>
      <w:r>
        <w:t xml:space="preserve"> </w:t>
      </w:r>
      <w:r>
        <w:t xml:space="preserve">“</w:t>
      </w:r>
      <w:r>
        <w:t xml:space="preserve">SCID</w:t>
      </w:r>
      <w:r>
        <w:t xml:space="preserve">”</w:t>
      </w:r>
      <w:r>
        <w:t xml:space="preserve"> </w:t>
      </w:r>
      <w:r>
        <w:t xml:space="preserve">(from SCID mouse EC</w:t>
      </w:r>
      <w:r>
        <w:rPr>
          <w:vertAlign w:val="subscript"/>
        </w:rPr>
        <w:t xml:space="preserve">50</w:t>
      </w:r>
      <w:r>
        <w:t xml:space="preserve"> </w:t>
      </w:r>
      <w:r>
        <w:t xml:space="preserve">data), as described in</w:t>
      </w:r>
      <w:r>
        <w:t xml:space="preserve"> </w:t>
      </w:r>
      <w:r>
        <w:t xml:space="preserve">Section</w:t>
      </w:r>
      <w:r>
        <w:t xml:space="preserve"> </w:t>
      </w:r>
      <w:r>
        <w:t xml:space="preserve">2.3</w:t>
      </w:r>
      <w:r>
        <w:t xml:space="preserve">.</w:t>
      </w:r>
    </w:p>
    <w:p>
      <w:pPr>
        <w:pStyle w:val="FirstParagraph"/>
      </w:pPr>
      <w:r>
        <w:t xml:space="preserve">This gives up to eight predicted LAI doses (2 coverage targets × 2</w:t>
      </w:r>
      <w:r>
        <w:t xml:space="preserve"> </w:t>
      </w:r>
      <w:r>
        <w:t xml:space="preserve">absorption scenarios × 2 PD sources), each simulated as a</w:t>
      </w:r>
      <w:r>
        <w:t xml:space="preserve"> </w:t>
      </w:r>
      <w:r>
        <w:rPr>
          <w:bCs/>
          <w:b/>
        </w:rPr>
        <w:t xml:space="preserve">single</w:t>
      </w:r>
      <w:r>
        <w:rPr>
          <w:bCs/>
          <w:b/>
        </w:rPr>
        <w:t xml:space="preserve"> </w:t>
      </w:r>
      <w:r>
        <w:rPr>
          <w:bCs/>
          <w:b/>
        </w:rPr>
        <w:t xml:space="preserve">injection</w:t>
      </w:r>
      <w:r>
        <w:t xml:space="preserve"> </w:t>
      </w:r>
      <w:r>
        <w:t xml:space="preserve">(</w:t>
      </w:r>
      <m:oMath>
        <m:sSub>
          <m:e>
            <m:r>
              <m:t>k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scenario, no repeat dosing) followed out to 210 days -</w:t>
      </w:r>
      <w:r>
        <w:t xml:space="preserve"> </w:t>
      </w:r>
      <w:r>
        <w:t xml:space="preserve">long enough to evaluate even the 180-day coverage target.</w:t>
      </w:r>
    </w:p>
    <w:bookmarkEnd w:id="135"/>
    <w:bookmarkStart w:id="136" w:name="coverage-time"/>
    <w:p>
      <w:pPr>
        <w:pStyle w:val="Heading2"/>
      </w:pPr>
      <w:r>
        <w:rPr>
          <w:rStyle w:val="SectionNumber"/>
        </w:rPr>
        <w:t xml:space="preserve">3.3</w:t>
      </w:r>
      <w:r>
        <w:tab/>
      </w:r>
      <w:r>
        <w:t xml:space="preserve">Coverage Time</w:t>
      </w:r>
    </w:p>
    <w:p>
      <w:pPr>
        <w:pStyle w:val="FirstParagraph"/>
      </w:pPr>
      <w:r>
        <w:t xml:space="preserve">For the time-above-MIC criteria, the</w:t>
      </w:r>
      <w:r>
        <w:t xml:space="preserve"> </w:t>
      </w:r>
      <w:r>
        <w:rPr>
          <w:bCs/>
          <w:b/>
        </w:rPr>
        <w:t xml:space="preserve">coverage time</w:t>
      </w:r>
      <w:r>
        <w:t xml:space="preserve"> </w:t>
      </w:r>
      <w:r>
        <w:t xml:space="preserve">is the length of the</w:t>
      </w:r>
      <w:r>
        <w:t xml:space="preserve"> </w:t>
      </w:r>
      <w:r>
        <w:rPr>
          <w:bCs/>
          <w:b/>
        </w:rPr>
        <w:t xml:space="preserve">last uninterrupted period</w:t>
      </w:r>
      <w:r>
        <w:t xml:space="preserve"> </w:t>
      </w:r>
      <w:r>
        <w:t xml:space="preserve">during which the simulated plasma concentration</w:t>
      </w:r>
      <w:r>
        <w:t xml:space="preserve"> </w:t>
      </w:r>
      <w:r>
        <w:t xml:space="preserve">stays above the MIC, from the moment it rises above the MIC (onset) to the</w:t>
      </w:r>
      <w:r>
        <w:t xml:space="preserve"> </w:t>
      </w:r>
      <w:r>
        <w:t xml:space="preserve">moment it falls back below it (end). Periods separated by a trough that drops</w:t>
      </w:r>
      <w:r>
        <w:t xml:space="preserve"> </w:t>
      </w:r>
      <w:r>
        <w:t xml:space="preserve">below the MIC between doses are</w:t>
      </w:r>
      <w:r>
        <w:t xml:space="preserve"> </w:t>
      </w:r>
      <w:r>
        <w:rPr>
          <w:iCs/>
          <w:i/>
        </w:rPr>
        <w:t xml:space="preserve">not</w:t>
      </w:r>
      <w:r>
        <w:t xml:space="preserve"> </w:t>
      </w:r>
      <w:r>
        <w:t xml:space="preserve">added up: only the last one counts, so a</w:t>
      </w:r>
      <w:r>
        <w:t xml:space="preserve"> </w:t>
      </w:r>
      <w:r>
        <w:t xml:space="preserve">dose is accepted only if the MIC is covered without interruption for the</w:t>
      </w:r>
      <w:r>
        <w:t xml:space="preserve"> </w:t>
      </w:r>
      <w:r>
        <w:t xml:space="preserve">target duration. The same definition is used for the</w:t>
      </w:r>
      <w:r>
        <w:t xml:space="preserve"> </w:t>
      </w:r>
      <w:r>
        <w:t xml:space="preserve">“</w:t>
      </w:r>
      <w:r>
        <w:t xml:space="preserve">Time above MIC</w:t>
      </w:r>
      <w:r>
        <w:t xml:space="preserve">”</w:t>
      </w:r>
      <w:r>
        <w:t xml:space="preserve"> </w:t>
      </w:r>
      <w:r>
        <w:t xml:space="preserve">values</w:t>
      </w:r>
      <w:r>
        <w:t xml:space="preserve"> </w:t>
      </w:r>
      <w:r>
        <w:t xml:space="preserve">(and the onset and end) shown in the dose tables and in the report, and for the</w:t>
      </w:r>
      <w:r>
        <w:t xml:space="preserve"> </w:t>
      </w:r>
      <w:r>
        <w:t xml:space="preserve">coverage bars drawn on the plots.</w:t>
      </w:r>
    </w:p>
    <w:bookmarkEnd w:id="136"/>
    <w:bookmarkStart w:id="137" w:name="how-the-dose-is-predicted"/>
    <w:p>
      <w:pPr>
        <w:pStyle w:val="Heading2"/>
      </w:pPr>
      <w:r>
        <w:rPr>
          <w:rStyle w:val="SectionNumber"/>
        </w:rPr>
        <w:t xml:space="preserve">3.4</w:t>
      </w:r>
      <w:r>
        <w:tab/>
      </w:r>
      <w:r>
        <w:t xml:space="preserve">How the Dose Is Predicted</w:t>
      </w:r>
    </w:p>
    <w:p>
      <w:pPr>
        <w:pStyle w:val="FirstParagraph"/>
      </w:pPr>
      <w:r>
        <w:t xml:space="preserve">For every dose criterion above, MMVSola runs the same numerical</w:t>
      </w:r>
      <w:r>
        <w:t xml:space="preserve"> </w:t>
      </w:r>
      <w:r>
        <w:t xml:space="preserve">dose-finding procedure: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Simulate</w:t>
      </w:r>
      <w:r>
        <w:t xml:space="preserve"> </w:t>
      </w:r>
      <w:r>
        <w:t xml:space="preserve">the PK/PD profile that results from dosing the candidate</w:t>
      </w:r>
      <w:r>
        <w:t xml:space="preserve"> </w:t>
      </w:r>
      <w:r>
        <w:t xml:space="preserve">compound, at a trial dose, with the regimen appropriate for the criterion</w:t>
      </w:r>
      <w:r>
        <w:t xml:space="preserve"> </w:t>
      </w:r>
      <w:r>
        <w:t xml:space="preserve">(Oral: the user-configured number of doses and dosing interval over 30</w:t>
      </w:r>
      <w:r>
        <w:t xml:space="preserve"> </w:t>
      </w:r>
      <w:r>
        <w:t xml:space="preserve">days; LAI: a single injection followed for 210 days).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Evaluate the criterion</w:t>
      </w:r>
      <w:r>
        <w:t xml:space="preserve"> </w:t>
      </w:r>
      <w:r>
        <w:t xml:space="preserve">on the simulated profile - the total</w:t>
      </w:r>
      <w:r>
        <w:t xml:space="preserve"> </w:t>
      </w:r>
      <w:r>
        <w:t xml:space="preserve">log</w:t>
      </w:r>
      <w:r>
        <w:rPr>
          <w:vertAlign w:val="subscript"/>
        </w:rPr>
        <w:t xml:space="preserve">10</w:t>
      </w:r>
      <w:r>
        <w:t xml:space="preserve"> </w:t>
      </w:r>
      <w:r>
        <w:t xml:space="preserve">parasite reduction (PRR</w:t>
      </w:r>
      <w:r>
        <w:rPr>
          <w:vertAlign w:val="subscript"/>
        </w:rPr>
        <w:t xml:space="preserve">tot</w:t>
      </w:r>
      <w:r>
        <w:t xml:space="preserve">) for the 12-log kill criterion, or</w:t>
      </w:r>
      <w:r>
        <w:t xml:space="preserve"> </w:t>
      </w:r>
      <w:r>
        <w:t xml:space="preserve">the coverage time (the length of the last uninterrupted period with the</w:t>
      </w:r>
      <w:r>
        <w:t xml:space="preserve"> </w:t>
      </w:r>
      <w:r>
        <w:t xml:space="preserve">plasma concentration above the MIC) for the time-above-MIC criteria - and compare it to the criterion’s target value</w:t>
      </w:r>
      <w:r>
        <w:t xml:space="preserve"> </w:t>
      </w:r>
      <w:r>
        <w:t xml:space="preserve">(12.02, or 21, 28, 90, or 180 days, respectively).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Search</w:t>
      </w:r>
      <w:r>
        <w:t xml:space="preserve"> </w:t>
      </w:r>
      <w:r>
        <w:t xml:space="preserve">for the dose that makes the evaluated criterion equal to its</w:t>
      </w:r>
      <w:r>
        <w:t xml:space="preserve"> </w:t>
      </w:r>
      <w:r>
        <w:t xml:space="preserve">target value, using a numerical root-finding algorithm</w:t>
      </w:r>
      <w:r>
        <w:t xml:space="preserve"> </w:t>
      </w:r>
      <w:r>
        <w:t xml:space="preserve">(</w:t>
      </w:r>
      <w:r>
        <w:rPr>
          <w:rStyle w:val="VerbatimChar"/>
        </w:rPr>
        <w:t xml:space="preserve">uniroot</w:t>
      </w:r>
      <w:r>
        <w:t xml:space="preserve">) over a wide dose range, repeating Steps 1-2 for each trial</w:t>
      </w:r>
      <w:r>
        <w:t xml:space="preserve"> </w:t>
      </w:r>
      <w:r>
        <w:t xml:space="preserve">dose the algorithm proposes.</w:t>
      </w:r>
    </w:p>
    <w:p>
      <w:pPr>
        <w:pStyle w:val="FirstParagraph"/>
      </w:pPr>
      <w:r>
        <w:t xml:space="preserve">The predicted dose is then rounded up - to the next whole mg if it is at</w:t>
      </w:r>
      <w:r>
        <w:t xml:space="preserve"> </w:t>
      </w:r>
      <w:r>
        <w:t xml:space="preserve">least 1 mg, or otherwise to the next value with one significant digit - so</w:t>
      </w:r>
      <w:r>
        <w:t xml:space="preserve"> </w:t>
      </w:r>
      <w:r>
        <w:t xml:space="preserve">that the reported number is a practical, round dose that is guaranteed to</w:t>
      </w:r>
      <w:r>
        <w:t xml:space="preserve"> </w:t>
      </w:r>
      <w:r>
        <w:t xml:space="preserve">meet (not just approach) the target criterion. If the search cannot find a</w:t>
      </w:r>
      <w:r>
        <w:t xml:space="preserve"> </w:t>
      </w:r>
      <w:r>
        <w:t xml:space="preserve">dose that reaches the target within the allowed dose range, the criterion is</w:t>
      </w:r>
      <w:r>
        <w:t xml:space="preserve"> </w:t>
      </w:r>
      <w:r>
        <w:t xml:space="preserve">reported as not reached (displayed as</w:t>
      </w:r>
      <w:r>
        <w:t xml:space="preserve"> </w:t>
      </w:r>
      <w:r>
        <w:t xml:space="preserve">“</w:t>
      </w:r>
      <w:r>
        <w:t xml:space="preserve">&gt;10000</w:t>
      </w:r>
      <w:r>
        <w:t xml:space="preserve">”</w:t>
      </w:r>
      <w:r>
        <w:t xml:space="preserve"> </w:t>
      </w:r>
      <w:r>
        <w:t xml:space="preserve">in the dose tables and</w:t>
      </w:r>
      <w:r>
        <w:t xml:space="preserve"> </w:t>
      </w:r>
      <w:r>
        <w:t xml:space="preserve">report). If one or more of the inputs or PK/PD parameters required for the</w:t>
      </w:r>
      <w:r>
        <w:t xml:space="preserve"> </w:t>
      </w:r>
      <w:r>
        <w:t xml:space="preserve">simulation are missing, the corresponding dose is reported as not available,</w:t>
      </w:r>
      <w:r>
        <w:t xml:space="preserve"> </w:t>
      </w:r>
      <w:r>
        <w:t xml:space="preserve">and MMVSola lists which inputs are still missing - the same kind of guidance</w:t>
      </w:r>
      <w:r>
        <w:t xml:space="preserve"> </w:t>
      </w:r>
      <w:r>
        <w:t xml:space="preserve">described in Step 9 of Section</w:t>
      </w:r>
      <w:r>
        <w:t xml:space="preserve"> </w:t>
      </w:r>
      <w:r>
        <w:t xml:space="preserve">1</w:t>
      </w:r>
      <w:r>
        <w:t xml:space="preserve">.</w:t>
      </w:r>
    </w:p>
    <w:p>
      <w:pPr>
        <w:pStyle w:val="BodyText"/>
      </w:pPr>
      <w:r>
        <w:t xml:space="preserve">How to configure MMVSola to run an LAI simulation - and how to read the</w:t>
      </w:r>
      <w:r>
        <w:t xml:space="preserve"> </w:t>
      </w:r>
      <w:r>
        <w:t xml:space="preserve">resulting predicted-dose table - is described in Step 10 of</w:t>
      </w:r>
      <w:r>
        <w:t xml:space="preserve"> </w:t>
      </w:r>
      <w:r>
        <w:t xml:space="preserve">Section</w:t>
      </w:r>
      <w:r>
        <w:t xml:space="preserve"> </w:t>
      </w:r>
      <w:r>
        <w:t xml:space="preserve">1</w:t>
      </w:r>
      <w:r>
        <w:t xml:space="preserve">.</w:t>
      </w:r>
    </w:p>
    <w:bookmarkEnd w:id="137"/>
    <w:bookmarkEnd w:id="138"/>
    <w:bookmarkStart w:id="143" w:name="the-report-tab"/>
    <w:p>
      <w:pPr>
        <w:pStyle w:val="Heading1"/>
      </w:pPr>
      <w:r>
        <w:rPr>
          <w:rStyle w:val="SectionNumber"/>
        </w:rPr>
        <w:t xml:space="preserve">4</w:t>
      </w:r>
      <w:r>
        <w:tab/>
      </w:r>
      <w:r>
        <w:t xml:space="preserve">The Report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Report</w:t>
      </w:r>
      <w:r>
        <w:t xml:space="preserve"> </w:t>
      </w:r>
      <w:r>
        <w:t xml:space="preserve">tab lets you download a multi-sheet Excel workbook documenting</w:t>
      </w:r>
      <w:r>
        <w:t xml:space="preserve"> </w:t>
      </w:r>
      <w:r>
        <w:t xml:space="preserve">the inputs and predictions for one or several compounds. Beyond serving as a</w:t>
      </w:r>
      <w:r>
        <w:t xml:space="preserve"> </w:t>
      </w:r>
      <w:r>
        <w:t xml:space="preserve">human-readable summary, the report supports two practical workflows that are</w:t>
      </w:r>
      <w:r>
        <w:t xml:space="preserve"> </w:t>
      </w:r>
      <w:r>
        <w:t xml:space="preserve">easy to overlook on a first visit:</w:t>
      </w:r>
      <w:r>
        <w:t xml:space="preserve"> </w:t>
      </w:r>
      <w:r>
        <w:rPr>
          <w:bCs/>
          <w:b/>
        </w:rPr>
        <w:t xml:space="preserve">saving and resuming your work</w:t>
      </w:r>
      <w:r>
        <w:t xml:space="preserve">, and</w:t>
      </w:r>
      <w:r>
        <w:t xml:space="preserve"> </w:t>
      </w:r>
      <w:r>
        <w:rPr>
          <w:bCs/>
          <w:b/>
        </w:rPr>
        <w:t xml:space="preserve">comparing several candidate compounds side by side</w:t>
      </w:r>
      <w:r>
        <w:t xml:space="preserve">.</w:t>
      </w:r>
    </w:p>
    <w:bookmarkStart w:id="139" w:name="saving-and-resuming-your-work"/>
    <w:p>
      <w:pPr>
        <w:pStyle w:val="Heading2"/>
      </w:pPr>
      <w:r>
        <w:rPr>
          <w:rStyle w:val="SectionNumber"/>
        </w:rPr>
        <w:t xml:space="preserve">4.1</w:t>
      </w:r>
      <w:r>
        <w:tab/>
      </w:r>
      <w:r>
        <w:t xml:space="preserve">Saving and Resuming Your Work</w:t>
      </w:r>
    </w:p>
    <w:p>
      <w:pPr>
        <w:pStyle w:val="FirstParagraph"/>
      </w:pPr>
      <w:r>
        <w:t xml:space="preserve">Because every input you entered or that MMVSola derived for you - together</w:t>
      </w:r>
      <w:r>
        <w:t xml:space="preserve"> </w:t>
      </w:r>
      <w:r>
        <w:t xml:space="preserve">with the predicted PK/PD parameters and doses - is written to the report,</w:t>
      </w:r>
      <w:r>
        <w:t xml:space="preserve"> </w:t>
      </w:r>
      <w:r>
        <w:t xml:space="preserve">downloading one is effectively a snapshot of a compound’s state in MMVSola. A</w:t>
      </w:r>
      <w:r>
        <w:t xml:space="preserve"> </w:t>
      </w:r>
      <w:r>
        <w:t xml:space="preserve">previously downloaded report can itself be uploaded again from the</w:t>
      </w:r>
      <w:r>
        <w:t xml:space="preserve"> </w:t>
      </w:r>
      <w:r>
        <w:rPr>
          <w:bCs/>
          <w:b/>
        </w:rPr>
        <w:t xml:space="preserve">File Input</w:t>
      </w:r>
      <w:r>
        <w:t xml:space="preserve"> </w:t>
      </w:r>
      <w:r>
        <w:t xml:space="preserve">tab, which restores that snapshot: you (or a colleague) can</w:t>
      </w:r>
      <w:r>
        <w:t xml:space="preserve"> </w:t>
      </w:r>
      <w:r>
        <w:t xml:space="preserve">resume work on a compound, or pick up results from an earlier session,</w:t>
      </w:r>
      <w:r>
        <w:t xml:space="preserve"> </w:t>
      </w:r>
      <w:r>
        <w:t xml:space="preserve">without re-entering any inputs.</w:t>
      </w:r>
    </w:p>
    <w:p>
      <w:pPr>
        <w:pStyle w:val="BodyText"/>
      </w:pPr>
      <w:r>
        <w:t xml:space="preserve">Three sheets make this possible and are therefore always included in every</w:t>
      </w:r>
      <w:r>
        <w:t xml:space="preserve"> </w:t>
      </w:r>
      <w:r>
        <w:t xml:space="preserve">report, regardless of which optional sheets you select: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User Inputs</w:t>
      </w:r>
      <w:r>
        <w:t xml:space="preserve"> </w:t>
      </w:r>
      <w:r>
        <w:t xml:space="preserve">- every input value for the compound, annotated with its</w:t>
      </w:r>
      <w:r>
        <w:t xml:space="preserve"> </w:t>
      </w:r>
      <w:r>
        <w:t xml:space="preserve">source: a value entered manually (white), averaged from an uploaded</w:t>
      </w:r>
      <w:r>
        <w:t xml:space="preserve"> </w:t>
      </w:r>
      <w:r>
        <w:t xml:space="preserve">ScienceCloud extract (golden), or calculated as a default by MMVSola</w:t>
      </w:r>
      <w:r>
        <w:t xml:space="preserve"> </w:t>
      </w:r>
      <w:r>
        <w:t xml:space="preserve">(azure) - the same colour-coding used for the input fields in the sidebar</w:t>
      </w:r>
      <w:r>
        <w:t xml:space="preserve"> </w:t>
      </w:r>
      <w:r>
        <w:t xml:space="preserve">(Step 8 of Section</w:t>
      </w:r>
      <w:r>
        <w:t xml:space="preserve"> </w:t>
      </w:r>
      <w:r>
        <w:t xml:space="preserve">1</w:t>
      </w:r>
      <w:r>
        <w:t xml:space="preserve">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Science Cloud File</w:t>
      </w:r>
      <w:r>
        <w:t xml:space="preserve"> </w:t>
      </w:r>
      <w:r>
        <w:t xml:space="preserve">- the raw ScienceCloud records that were uploaded</w:t>
      </w:r>
      <w:r>
        <w:t xml:space="preserve"> </w:t>
      </w:r>
      <w:r>
        <w:t xml:space="preserve">for the compound, exactly as read from the input file (or blank if no such</w:t>
      </w:r>
      <w:r>
        <w:t xml:space="preserve"> </w:t>
      </w:r>
      <w:r>
        <w:t xml:space="preserve">file was uploaded).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Additional Information</w:t>
      </w:r>
      <w:r>
        <w:t xml:space="preserve"> </w:t>
      </w:r>
      <w:r>
        <w:t xml:space="preserve">- the physiological constants</w:t>
      </w:r>
      <w:r>
        <w:t xml:space="preserve"> </w:t>
      </w:r>
      <w:r>
        <w:t xml:space="preserve">(Section</w:t>
      </w:r>
      <w:r>
        <w:t xml:space="preserve"> </w:t>
      </w:r>
      <w:r>
        <w:t xml:space="preserve">2.4</w:t>
      </w:r>
      <w:r>
        <w:t xml:space="preserve">) and other fixed assumptions used in every</w:t>
      </w:r>
      <w:r>
        <w:t xml:space="preserve"> </w:t>
      </w:r>
      <w:r>
        <w:t xml:space="preserve">prediction, plus the MMVSola and input-specification version numbers, so</w:t>
      </w:r>
      <w:r>
        <w:t xml:space="preserve"> </w:t>
      </w:r>
      <w:r>
        <w:t xml:space="preserve">that a re-opened report can always be traced back to the exact assumptions</w:t>
      </w:r>
      <w:r>
        <w:t xml:space="preserve"> </w:t>
      </w:r>
      <w:r>
        <w:t xml:space="preserve">that produced it.</w:t>
      </w:r>
    </w:p>
    <w:bookmarkEnd w:id="139"/>
    <w:bookmarkStart w:id="140" w:name="comparing-predictions-across-compounds"/>
    <w:p>
      <w:pPr>
        <w:pStyle w:val="Heading2"/>
      </w:pPr>
      <w:r>
        <w:rPr>
          <w:rStyle w:val="SectionNumber"/>
        </w:rPr>
        <w:t xml:space="preserve">4.2</w:t>
      </w:r>
      <w:r>
        <w:tab/>
      </w:r>
      <w:r>
        <w:t xml:space="preserve">Comparing Predictions Across Compounds</w:t>
      </w:r>
    </w:p>
    <w:p>
      <w:pPr>
        <w:pStyle w:val="FirstParagraph"/>
      </w:pPr>
      <w:r>
        <w:t xml:space="preserve">When several compounds are loaded at once, the Report tab lets you select</w:t>
      </w:r>
      <w:r>
        <w:t xml:space="preserve"> </w:t>
      </w:r>
      <w:r>
        <w:t xml:space="preserve">more than one of them under</w:t>
      </w:r>
      <w:r>
        <w:t xml:space="preserve"> </w:t>
      </w:r>
      <w:r>
        <w:rPr>
          <w:bCs/>
          <w:b/>
        </w:rPr>
        <w:t xml:space="preserve">Select compound</w:t>
      </w:r>
      <w:r>
        <w:t xml:space="preserve"> </w:t>
      </w:r>
      <w:r>
        <w:t xml:space="preserve">(or use</w:t>
      </w:r>
      <w:r>
        <w:t xml:space="preserve"> </w:t>
      </w:r>
      <w:r>
        <w:rPr>
          <w:bCs/>
          <w:b/>
        </w:rPr>
        <w:t xml:space="preserve">Select all</w:t>
      </w:r>
      <w:r>
        <w:t xml:space="preserve">), and</w:t>
      </w:r>
      <w:r>
        <w:t xml:space="preserve"> </w:t>
      </w:r>
      <w:r>
        <w:t xml:space="preserve">adds three</w:t>
      </w:r>
      <w:r>
        <w:t xml:space="preserve"> </w:t>
      </w:r>
      <w:r>
        <w:t xml:space="preserve">“</w:t>
      </w:r>
      <w:r>
        <w:t xml:space="preserve">Comparative</w:t>
      </w:r>
      <w:r>
        <w:t xml:space="preserve">”</w:t>
      </w:r>
      <w:r>
        <w:t xml:space="preserve"> </w:t>
      </w:r>
      <w:r>
        <w:t xml:space="preserve">sheets to the workbook, each laying the</w:t>
      </w:r>
      <w:r>
        <w:t xml:space="preserve"> </w:t>
      </w:r>
      <w:r>
        <w:t xml:space="preserve">corresponding per-compound content side by side in one table: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Comparative Summary</w:t>
      </w:r>
      <w:r>
        <w:t xml:space="preserve"> </w:t>
      </w:r>
      <w:r>
        <w:t xml:space="preserve">- the predicted PK/PD profile and dose</w:t>
      </w:r>
      <w:r>
        <w:t xml:space="preserve"> </w:t>
      </w:r>
      <w:r>
        <w:t xml:space="preserve">recommendation for each selected compound.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Comparative PK Prediction</w:t>
      </w:r>
      <w:r>
        <w:t xml:space="preserve"> </w:t>
      </w:r>
      <w:r>
        <w:t xml:space="preserve">- the predicted human PK parameters</w:t>
      </w:r>
      <w:r>
        <w:t xml:space="preserve"> </w:t>
      </w:r>
      <w:r>
        <w:t xml:space="preserve">(clearance, volume of distribution, bioavailability, etc.) for each</w:t>
      </w:r>
      <w:r>
        <w:t xml:space="preserve"> </w:t>
      </w:r>
      <w:r>
        <w:t xml:space="preserve">selected compound.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Comparative User Inputs</w:t>
      </w:r>
      <w:r>
        <w:t xml:space="preserve"> </w:t>
      </w:r>
      <w:r>
        <w:t xml:space="preserve">- the raw user inputs for each selected</w:t>
      </w:r>
      <w:r>
        <w:t xml:space="preserve"> </w:t>
      </w:r>
      <w:r>
        <w:t xml:space="preserve">compound.</w:t>
      </w:r>
    </w:p>
    <w:p>
      <w:pPr>
        <w:pStyle w:val="FirstParagraph"/>
      </w:pPr>
      <w:r>
        <w:t xml:space="preserve">This turns the report into a quick way to rank or shortlist candidate</w:t>
      </w:r>
      <w:r>
        <w:t xml:space="preserve"> </w:t>
      </w:r>
      <w:r>
        <w:t xml:space="preserve">compounds without having to switch between compounds in the app and note</w:t>
      </w:r>
      <w:r>
        <w:t xml:space="preserve"> </w:t>
      </w:r>
      <w:r>
        <w:t xml:space="preserve">down values by hand.</w:t>
      </w:r>
    </w:p>
    <w:bookmarkEnd w:id="140"/>
    <w:bookmarkStart w:id="141" w:name="generating-a-report"/>
    <w:p>
      <w:pPr>
        <w:pStyle w:val="Heading2"/>
      </w:pPr>
      <w:r>
        <w:rPr>
          <w:rStyle w:val="SectionNumber"/>
        </w:rPr>
        <w:t xml:space="preserve">4.3</w:t>
      </w:r>
      <w:r>
        <w:tab/>
      </w:r>
      <w:r>
        <w:t xml:space="preserve">Generating a Report</w:t>
      </w:r>
    </w:p>
    <w:p>
      <w:pPr>
        <w:pStyle w:val="FirstParagraph"/>
      </w:pPr>
      <w:r>
        <w:t xml:space="preserve">To generate a report:</w:t>
      </w:r>
    </w:p>
    <w:p>
      <w:pPr>
        <w:numPr>
          <w:ilvl w:val="0"/>
          <w:numId w:val="1017"/>
        </w:numPr>
        <w:pStyle w:val="Compact"/>
      </w:pPr>
      <w:r>
        <w:t xml:space="preserve">Under</w:t>
      </w:r>
      <w:r>
        <w:t xml:space="preserve"> </w:t>
      </w:r>
      <w:r>
        <w:rPr>
          <w:bCs/>
          <w:b/>
        </w:rPr>
        <w:t xml:space="preserve">Select compound</w:t>
      </w:r>
      <w:r>
        <w:t xml:space="preserve">, choose which loaded compound(s) to include</w:t>
      </w:r>
      <w:r>
        <w:t xml:space="preserve"> </w:t>
      </w:r>
      <w:r>
        <w:t xml:space="preserve">(or use</w:t>
      </w:r>
      <w:r>
        <w:t xml:space="preserve"> </w:t>
      </w:r>
      <w:r>
        <w:rPr>
          <w:bCs/>
          <w:b/>
        </w:rPr>
        <w:t xml:space="preserve">Select all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Deselect all</w:t>
      </w:r>
      <w:r>
        <w:t xml:space="preserve">) - a single compound for an</w:t>
      </w:r>
      <w:r>
        <w:t xml:space="preserve"> </w:t>
      </w:r>
      <w:r>
        <w:t xml:space="preserve">individual record, or several to also obtain the comparative sheets</w:t>
      </w:r>
      <w:r>
        <w:t xml:space="preserve"> </w:t>
      </w:r>
      <w:r>
        <w:t xml:space="preserve">described above.</w:t>
      </w:r>
    </w:p>
    <w:p>
      <w:pPr>
        <w:numPr>
          <w:ilvl w:val="0"/>
          <w:numId w:val="1017"/>
        </w:numPr>
        <w:pStyle w:val="Compact"/>
      </w:pPr>
      <w:r>
        <w:t xml:space="preserve">Under</w:t>
      </w:r>
      <w:r>
        <w:t xml:space="preserve"> </w:t>
      </w:r>
      <w:r>
        <w:rPr>
          <w:bCs/>
          <w:b/>
        </w:rPr>
        <w:t xml:space="preserve">Select sheets</w:t>
      </w:r>
      <w:r>
        <w:t xml:space="preserve">, tick the sheets you want - separately for the</w:t>
      </w:r>
      <w:r>
        <w:t xml:space="preserve"> </w:t>
      </w:r>
      <w:r>
        <w:t xml:space="preserve">Oral and the LAI side of the report, using the checkboxes in the</w:t>
      </w:r>
      <w:r>
        <w:t xml:space="preserve"> </w:t>
      </w:r>
      <w:r>
        <w:t xml:space="preserve">corresponding column. The</w:t>
      </w:r>
      <w:r>
        <w:t xml:space="preserve"> </w:t>
      </w:r>
      <w:r>
        <w:rPr>
          <w:bCs/>
          <w:b/>
        </w:rPr>
        <w:t xml:space="preserve">All</w:t>
      </w:r>
      <w:r>
        <w:t xml:space="preserve"> </w:t>
      </w:r>
      <w:r>
        <w:t xml:space="preserve">row toggles every optional sheet for a</w:t>
      </w:r>
      <w:r>
        <w:t xml:space="preserve"> </w:t>
      </w:r>
      <w:r>
        <w:t xml:space="preserve">column at once. The User Inputs, Science Cloud File, and Additional</w:t>
      </w:r>
      <w:r>
        <w:t xml:space="preserve"> </w:t>
      </w:r>
      <w:r>
        <w:t xml:space="preserve">Information sheets are always included (greyed out, always ticked), as</w:t>
      </w:r>
      <w:r>
        <w:t xml:space="preserve"> </w:t>
      </w:r>
      <w:r>
        <w:t xml:space="preserve">explained above.</w:t>
      </w:r>
    </w:p>
    <w:p>
      <w:pPr>
        <w:numPr>
          <w:ilvl w:val="0"/>
          <w:numId w:val="1017"/>
        </w:numPr>
        <w:pStyle w:val="Compact"/>
      </w:pPr>
      <w:r>
        <w:t xml:space="preserve">Click</w:t>
      </w:r>
      <w:r>
        <w:t xml:space="preserve"> </w:t>
      </w:r>
      <w:r>
        <w:rPr>
          <w:bCs/>
          <w:b/>
        </w:rPr>
        <w:t xml:space="preserve">Generate Full Report</w:t>
      </w:r>
      <w:r>
        <w:t xml:space="preserve"> </w:t>
      </w:r>
      <w:r>
        <w:t xml:space="preserve">for a workbook with both Oral and LAI</w:t>
      </w:r>
      <w:r>
        <w:t xml:space="preserve"> </w:t>
      </w:r>
      <w:r>
        <w:t xml:space="preserve">sheets, or</w:t>
      </w:r>
      <w:r>
        <w:t xml:space="preserve"> </w:t>
      </w:r>
      <w:r>
        <w:rPr>
          <w:bCs/>
          <w:b/>
        </w:rPr>
        <w:t xml:space="preserve">Generate Oral Report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Generate LAI Report</w:t>
      </w:r>
      <w:r>
        <w:t xml:space="preserve"> </w:t>
      </w:r>
      <w:r>
        <w:t xml:space="preserve">for a</w:t>
      </w:r>
      <w:r>
        <w:t xml:space="preserve"> </w:t>
      </w:r>
      <w:r>
        <w:t xml:space="preserve">workbook restricted to one route of administration.</w:t>
      </w:r>
    </w:p>
    <w:bookmarkEnd w:id="141"/>
    <w:bookmarkStart w:id="142" w:name="report-sheets-reference"/>
    <w:p>
      <w:pPr>
        <w:pStyle w:val="Heading2"/>
      </w:pPr>
      <w:r>
        <w:rPr>
          <w:rStyle w:val="SectionNumber"/>
        </w:rPr>
        <w:t xml:space="preserve">4.4</w:t>
      </w:r>
      <w:r>
        <w:tab/>
      </w:r>
      <w:r>
        <w:t xml:space="preserve">Report Sheets Reference</w:t>
      </w:r>
    </w:p>
    <w:p>
      <w:pPr>
        <w:pStyle w:val="FirstParagraph"/>
      </w:pPr>
      <w:r>
        <w:t xml:space="preserve">The table below summarizes what each sheet contains: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52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Sheet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contents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Summary (Oral / LAI)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One-page, per-compound overview of the predicted PK/PD profile and dose recommendation for the selected route.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PK Prediction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predicted human PK parameters (clearance, volume of distribution, bioavailability, etc.), which method (IVIVE, Allometry, IVIVE + Allometry) and assay (hepatocytes vs. microsomes) were used, and the IVIV correction case detected for each assay (see Section</w:t>
            </w:r>
            <w:r>
              <w:t xml:space="preserve"> </w:t>
            </w:r>
            <w:r>
              <w:t xml:space="preserve">2.2.3</w:t>
            </w:r>
            <w:r>
              <w:t xml:space="preserve">, Step 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Sensitivity Plots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Plots showing how the predicted dose and PK/PD profile respond to changes in selected input parameters. Computationally expensive - off by default.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Sensitivity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numerical results behind the Sensitivity Plots, e.g. the predicted dose for a grid of parameter values. Off by default.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Comparative Summary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side-by-side comparison of the Summary content for all selected compounds.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Comparative PK Prediction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side-by-side comparison of predicted human PK parameters across all selected compounds.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Comparative User Inputs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side-by-side comparison of the raw user inputs across all selected compounds.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 Inputs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Every input value for the compound, annotated with its source. Always included.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Science Cloud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raw ScienceCloud records uploaded for the compound. Always included.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</w:t>
            </w:r>
            <w:r>
              <w:t xml:space="preserve"> </w:t>
            </w:r>
            <w:r>
              <w:t xml:space="preserve">“</w:t>
            </w:r>
            <w:r>
              <w:t xml:space="preserve">general parameter file</w:t>
            </w:r>
            <w:r>
              <w:t xml:space="preserve">”</w:t>
            </w:r>
            <w:r>
              <w:t xml:space="preserve"> </w:t>
            </w:r>
            <w:r>
              <w:t xml:space="preserve">used internally to run the PK/PD simulation for each combination of absorption route (Oral, LAI fast, LAI slow) and PD parameter source (in vitro, SCID), in human plasma units. Included by default; can be switched off.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Additional Information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physiological constants (Section</w:t>
            </w:r>
            <w:r>
              <w:t xml:space="preserve"> </w:t>
            </w:r>
            <w:r>
              <w:t xml:space="preserve">2.4</w:t>
            </w:r>
            <w:r>
              <w:t xml:space="preserve">) and other fixed assumptions used in every prediction, plus the MMVSola and input-specification version numbers. Always included.</w:t>
            </w:r>
          </w:p>
        </w:tc>
      </w:tr>
    </w:tbl>
    <w:p>
      <w:pPr>
        <w:pStyle w:val="BodyText"/>
      </w:pPr>
      <w:r>
        <w:t xml:space="preserve">All concentration- and clearance-related parameters listed in the GPF sheet</w:t>
      </w:r>
      <w:r>
        <w:t xml:space="preserve"> </w:t>
      </w:r>
      <w:r>
        <w:t xml:space="preserve">(</w:t>
      </w:r>
      <w:r>
        <w:rPr>
          <w:rStyle w:val="VerbatimChar"/>
        </w:rPr>
        <w:t xml:space="preserve">CL</w:t>
      </w:r>
      <w:r>
        <w:t xml:space="preserve">,</w:t>
      </w:r>
      <w:r>
        <w:t xml:space="preserve"> </w:t>
      </w:r>
      <w:r>
        <w:rPr>
          <w:rStyle w:val="VerbatimChar"/>
        </w:rPr>
        <w:t xml:space="preserve">Vc</w:t>
      </w:r>
      <w:r>
        <w:t xml:space="preserve">,</w:t>
      </w:r>
      <w:r>
        <w:t xml:space="preserve"> </w:t>
      </w:r>
      <w:r>
        <w:rPr>
          <w:rStyle w:val="VerbatimChar"/>
        </w:rPr>
        <w:t xml:space="preserve">EC50</w:t>
      </w:r>
      <w:r>
        <w:t xml:space="preserve">) are given in</w:t>
      </w:r>
      <w:r>
        <w:t xml:space="preserve"> </w:t>
      </w:r>
      <w:r>
        <w:rPr>
          <w:bCs/>
          <w:b/>
        </w:rPr>
        <w:t xml:space="preserve">plasma</w:t>
      </w:r>
      <w:r>
        <w:t xml:space="preserve"> </w:t>
      </w:r>
      <w:r>
        <w:t xml:space="preserve">units, matching the structural</w:t>
      </w:r>
      <w:r>
        <w:t xml:space="preserve"> </w:t>
      </w:r>
      <w:r>
        <w:t xml:space="preserve">model of Section</w:t>
      </w:r>
      <w:r>
        <w:t xml:space="preserve"> </w:t>
      </w:r>
      <w:r>
        <w:t xml:space="preserve">2.1</w:t>
      </w:r>
      <w:r>
        <w:t xml:space="preserve">, which simulates</w:t>
      </w:r>
      <w:r>
        <w:t xml:space="preserve"> </w:t>
      </w:r>
      <w:r>
        <w:t xml:space="preserve">plasma concentrations throughout.</w:t>
      </w:r>
    </w:p>
    <w:bookmarkEnd w:id="142"/>
    <w:bookmarkEnd w:id="143"/>
    <w:bookmarkStart w:id="148" w:name="advanced-topics"/>
    <w:p>
      <w:pPr>
        <w:pStyle w:val="Heading1"/>
      </w:pPr>
      <w:r>
        <w:rPr>
          <w:rStyle w:val="SectionNumber"/>
        </w:rPr>
        <w:t xml:space="preserve">5</w:t>
      </w:r>
      <w:r>
        <w:tab/>
      </w:r>
      <w:r>
        <w:t xml:space="preserve">Advanced Topics</w:t>
      </w:r>
    </w:p>
    <w:p>
      <w:pPr>
        <w:pStyle w:val="FirstParagraph"/>
      </w:pPr>
      <w:r>
        <w:t xml:space="preserve">This chapter collects background on a few MMVSola mechanisms that most users</w:t>
      </w:r>
      <w:r>
        <w:t xml:space="preserve"> </w:t>
      </w:r>
      <w:r>
        <w:t xml:space="preserve">will not need to look into on a daily basis, but which are useful to</w:t>
      </w:r>
      <w:r>
        <w:t xml:space="preserve"> </w:t>
      </w:r>
      <w:r>
        <w:t xml:space="preserve">understand when reviewing where a particular default value came from or when</w:t>
      </w:r>
      <w:r>
        <w:t xml:space="preserve"> </w:t>
      </w:r>
      <w:r>
        <w:t xml:space="preserve">investigating an unexpected prediction.</w:t>
      </w:r>
    </w:p>
    <w:bookmarkStart w:id="144" w:name="loading-parameters-from-a-url"/>
    <w:p>
      <w:pPr>
        <w:pStyle w:val="Heading2"/>
      </w:pPr>
      <w:r>
        <w:rPr>
          <w:rStyle w:val="SectionNumber"/>
        </w:rPr>
        <w:t xml:space="preserve">5.1</w:t>
      </w:r>
      <w:r>
        <w:tab/>
      </w:r>
      <w:r>
        <w:t xml:space="preserve">Loading parameters from a URL</w:t>
      </w:r>
    </w:p>
    <w:p>
      <w:pPr>
        <w:pStyle w:val="FirstParagraph"/>
      </w:pPr>
      <w:r>
        <w:t xml:space="preserve">Instead of entering values by hand, MMVSola’s input parameters can be</w:t>
      </w:r>
      <w:r>
        <w:t xml:space="preserve"> </w:t>
      </w:r>
      <w:r>
        <w:t xml:space="preserve">pre-filled by appending a query string to the app’s URL, e.g.</w:t>
      </w:r>
      <w:r>
        <w:t xml:space="preserve"> </w:t>
      </w:r>
      <w:r>
        <w:rPr>
          <w:rStyle w:val="VerbatimChar"/>
        </w:rPr>
        <w:t xml:space="preserve">&lt;app URL&gt;/?Compound=MMV390048&amp;Mwt=390.5&amp;IC50=15.3&amp;HillIN=2.1</w:t>
      </w:r>
      <w:r>
        <w:t xml:space="preserve">. This is</w:t>
      </w:r>
      <w:r>
        <w:t xml:space="preserve"> </w:t>
      </w:r>
      <w:r>
        <w:t xml:space="preserve">intended primarily as the landing point for a link from another MMV tool such</w:t>
      </w:r>
      <w:r>
        <w:t xml:space="preserve"> </w:t>
      </w:r>
      <w:r>
        <w:t xml:space="preserve">as MMVFree - clicking the MMVSola link icon next to a compound’s Oral or LAI</w:t>
      </w:r>
      <w:r>
        <w:t xml:space="preserve"> </w:t>
      </w:r>
      <w:r>
        <w:t xml:space="preserve">dose opens MMVSola on the matching</w:t>
      </w:r>
      <w:r>
        <w:t xml:space="preserve"> </w:t>
      </w:r>
      <w:r>
        <w:rPr>
          <w:bCs/>
          <w:b/>
        </w:rPr>
        <w:t xml:space="preserve">Oral</w:t>
      </w:r>
      <w:r>
        <w:t xml:space="preserve"> </w:t>
      </w:r>
      <w:r>
        <w:t xml:space="preserve">or</w:t>
      </w:r>
      <w:r>
        <w:t xml:space="preserve"> </w:t>
      </w:r>
      <w:r>
        <w:rPr>
          <w:bCs/>
          <w:b/>
        </w:rPr>
        <w:t xml:space="preserve">LAI</w:t>
      </w:r>
      <w:r>
        <w:t xml:space="preserve"> </w:t>
      </w:r>
      <w:r>
        <w:t xml:space="preserve">sub-tab with every</w:t>
      </w:r>
      <w:r>
        <w:t xml:space="preserve"> </w:t>
      </w:r>
      <w:r>
        <w:t xml:space="preserve">parameter MMVFree can inform already filled in - but you can also construct</w:t>
      </w:r>
      <w:r>
        <w:t xml:space="preserve"> </w:t>
      </w:r>
      <w:r>
        <w:t xml:space="preserve">one by hand or bookmark one for a compound you return to often.</w:t>
      </w:r>
    </w:p>
    <w:p>
      <w:pPr>
        <w:pStyle w:val="BodyText"/>
      </w:pPr>
      <w:r>
        <w:t xml:space="preserve">Unlike a fixed list of URL parameters, MMVSola recognizes</w:t>
      </w:r>
      <w:r>
        <w:t xml:space="preserve"> </w:t>
      </w:r>
      <w:r>
        <w:rPr>
          <w:iCs/>
          <w:i/>
        </w:rPr>
        <w:t xml:space="preserve">any</w:t>
      </w:r>
      <w:r>
        <w:t xml:space="preserve"> </w:t>
      </w:r>
      <w:r>
        <w:t xml:space="preserve">query key</w:t>
      </w:r>
      <w:r>
        <w:t xml:space="preserve"> </w:t>
      </w:r>
      <w:r>
        <w:t xml:space="preserve">that matches one of its own input parameter IDs (the same identifiers used</w:t>
      </w:r>
      <w:r>
        <w:t xml:space="preserve"> </w:t>
      </w:r>
      <w:r>
        <w:t xml:space="preserve">internally for numeric, text, radio, and select inputs), so the set of</w:t>
      </w:r>
      <w:r>
        <w:t xml:space="preserve"> </w:t>
      </w:r>
      <w:r>
        <w:t xml:space="preserve">loadable parameters stays in sync automatically as new inputs are added to</w:t>
      </w:r>
      <w:r>
        <w:t xml:space="preserve"> </w:t>
      </w:r>
      <w:r>
        <w:t xml:space="preserve">MMVSola. One additional, non-parameter key -</w:t>
      </w:r>
      <w:r>
        <w:t xml:space="preserve"> </w:t>
      </w:r>
      <w:r>
        <w:rPr>
          <w:rStyle w:val="VerbatimChar"/>
        </w:rPr>
        <w:t xml:space="preserve">subtab</w:t>
      </w:r>
      <w:r>
        <w:t xml:space="preserve"> </w:t>
      </w:r>
      <w:r>
        <w:t xml:space="preserve">(</w:t>
      </w:r>
      <w:r>
        <w:rPr>
          <w:rStyle w:val="VerbatimChar"/>
        </w:rPr>
        <w:t xml:space="preserve">"Oral"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"LAI"</w:t>
      </w:r>
      <w:r>
        <w:t xml:space="preserve">) -</w:t>
      </w:r>
      <w:r>
        <w:t xml:space="preserve"> </w:t>
      </w:r>
      <w:r>
        <w:t xml:space="preserve">selects which Prediction sub-tab the app lands on; it does not affect which</w:t>
      </w:r>
      <w:r>
        <w:t xml:space="preserve"> </w:t>
      </w:r>
      <w:r>
        <w:t xml:space="preserve">parameter set is applied, only which tab is shown first.</w:t>
      </w:r>
    </w:p>
    <w:p>
      <w:pPr>
        <w:pStyle w:val="BodyText"/>
      </w:pPr>
      <w:r>
        <w:t xml:space="preserve">A value that cannot be parsed for its input’s type, or (for a radio or</w:t>
      </w:r>
      <w:r>
        <w:t xml:space="preserve"> </w:t>
      </w:r>
      <w:r>
        <w:t xml:space="preserve">select input) is not one of the valid choices, is dropped and the input is</w:t>
      </w:r>
      <w:r>
        <w:t xml:space="preserve"> </w:t>
      </w:r>
      <w:r>
        <w:t xml:space="preserve">left at its usual default rather than causing an error. An unrecognized</w:t>
      </w:r>
      <w:r>
        <w:t xml:space="preserve"> </w:t>
      </w:r>
      <w:r>
        <w:t xml:space="preserve">query key is ignored. The app works normally when opened with no query</w:t>
      </w:r>
      <w:r>
        <w:t xml:space="preserve"> </w:t>
      </w:r>
      <w:r>
        <w:t xml:space="preserve">string at all - existing bookmarks and a plain visit to the app’s URL are</w:t>
      </w:r>
      <w:r>
        <w:t xml:space="preserve"> </w:t>
      </w:r>
      <w:r>
        <w:t xml:space="preserve">unaffected.</w:t>
      </w:r>
    </w:p>
    <w:p>
      <w:pPr>
        <w:pStyle w:val="BodyText"/>
      </w:pPr>
      <w:r>
        <w:t xml:space="preserve">The table below lists every recognized URL parameter ID, generated directly</w:t>
      </w:r>
      <w:r>
        <w:t xml:space="preserve"> </w:t>
      </w:r>
      <w:r>
        <w:t xml:space="preserve">from MMVSola’s own parameter specification so it never drifts out of sync</w:t>
      </w:r>
      <w:r>
        <w:t xml:space="preserve"> </w:t>
      </w:r>
      <w:r>
        <w:t xml:space="preserve">with the app: the human-readable label shown next to the corresponding input</w:t>
      </w:r>
      <w:r>
        <w:t xml:space="preserve"> </w:t>
      </w:r>
      <w:r>
        <w:t xml:space="preserve">in the GUI (where the input has one - a few, like the per-dose-row</w:t>
      </w:r>
      <w:r>
        <w:t xml:space="preserve"> </w:t>
      </w:r>
      <w:r>
        <w:rPr>
          <w:rStyle w:val="VerbatimChar"/>
        </w:rPr>
        <w:t xml:space="preserve">Dose</w:t>
      </w:r>
      <w:r>
        <w:t xml:space="preserve"> </w:t>
      </w:r>
      <w:r>
        <w:t xml:space="preserve">override fields, are set directly in a results table rather than through a</w:t>
      </w:r>
      <w:r>
        <w:t xml:space="preserve"> </w:t>
      </w:r>
      <w:r>
        <w:t xml:space="preserve">labelled sidebar field), which collapsible input group it belongs to, which</w:t>
      </w:r>
      <w:r>
        <w:t xml:space="preserve"> </w:t>
      </w:r>
      <w:r>
        <w:t xml:space="preserve">species/route column (H/R/M/D, or Oral/LAI Fast/LAI Slow) it is for, if</w:t>
      </w:r>
      <w:r>
        <w:t xml:space="preserve"> </w:t>
      </w:r>
      <w:r>
        <w:t xml:space="preserve">applicable, and its unit.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60"/>
        <w:gridCol w:w="2504"/>
        <w:gridCol w:w="1489"/>
        <w:gridCol w:w="947"/>
        <w:gridCol w:w="121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Input group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Species/Route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Compound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Compound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LAIPlotType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Plot Type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OralPlotType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 Plot Type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Smiles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Smiles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UserDose_LAI_fast_invitro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UserDose_LAI_fast_scid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UserDose_LAI_slow_invitro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UserDose_LAI_slow_scid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UserDose_oral_invitro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UserDose_oral_scid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ChargeState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Charge State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properties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LogD_calc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Calculated LogD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properties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Log 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LogD_exp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LogD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properties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Log 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Mwt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Molecular Weight [Da]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properties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EC50_SCID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EC50 in SCID mouse blood [ng/mL]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SCID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ng/mL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Hill_SCIDIN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Hill Slope in SCID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SCID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Slope Exponent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AlbumaxPB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 Binding [%]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HillIN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Hill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Slope Exponent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TCGLS 3D7 72h IC50 [nM]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nM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LagTime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PRR Lag Time [h]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invitroPRR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Log10 in-vitro PRR / 48h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PD in vitro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Log10 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CLint_hep_D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Hep. CLint [µL/min/10^6 cells]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µL/min/10^6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CLint_hep_M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Hep. CLint [µL/min/10^6 cells]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µL/min/10^6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CLint_hep_R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Hep. CLint [µL/min/10^6 cells]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µL/min/10^6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CellsPermL_hep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 in Hep.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CellsPermL_hepDOG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 in Hep.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CellsPermL_hepMOUSE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 in Hep.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CellsPermL_hepRAT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 in Hep.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10^6 cells/mL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Clint_hep_H_uLminMCells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 Hep. CLint [µL/min/10^6 cells]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µL/min/10^6 cells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DogHepFactor_interc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Hep.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DogHepFactor_slope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Hep.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Fu_hep_D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Hep.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Fu_hep_H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Hep.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Fu_hep_M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Hep.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Fu_hep_R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Hep.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HuHepFactor_interc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Hepatocyte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HuHepFactor_slope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Hepatocyte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MouseHepFactor_interc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Hep.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MouseHepFactor_slope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Hep.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RatHepFactor_interc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Hep.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RatHepFactor_slope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Hep.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heps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CLint_mic_D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Mic. CLint [µL/min/mg]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CLint_mic_M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Mic. CLint [µL/min/mg]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CLint_mic_R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Mic. CLint [µL/min/mg]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Clint_mic_H_uLminmg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 Mic. CLint [µL/min/mg]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µL/min/mg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DogMicFactor_interc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Mic.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DogMicFactor_slope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Mic.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Fu_mic_D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Mic.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Fu_mic_H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Mic.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Fu_mic_M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Mic.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Fu_mic_R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Measured fu in Mic. assay (0-1)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HuMicFactor_interc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Microsome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HuMicFactor_slope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Microsome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MouseMicFactor_interc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Mic.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MouseMicFactor_slope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Mic.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RatMicFactor_interc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Mic. regression intercept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Intercept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RatMicFactor_slope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Mic. regression slope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Slope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mgproteinmL_mic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 Protein in Mic.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mgproteinmL_micDOG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 Protein in Mic.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mgproteinmL_micMOUSE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 Protein in Mic.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mgproteinmL_micRAT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 Protein in Mic. Assay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mics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mg/mL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BP_D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Blood to Plasma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BP_M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Blood to Plasma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BP_R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Blood to Plasma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BPratio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 Blood to Plasma Ratio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CL_D_mLminkg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Plasma CL [mL/min/kg]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CL_H_mLminkg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 Plasma CL [mL/min/kg]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CL_M_mLminkg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Plasma CL [mL/min/kg]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CL_R_mLminkg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Plasma CL [mL/min/kg]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IVIVEPK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Clearance Prediction Method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Method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PPB_D_Percent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Plasma Binding [%]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PPB_M_Percent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Plasma Binding [%]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PPB_Percent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 Plasma Binding [%]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PPB_R_Percent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Plasma Binding [%]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RenalClearance_D_mLminkg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Renal Plasma Clearance (mL/min/kg)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RenalClearance_H_mLminkg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Renal Plasma Clearance (mL/min/kg)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RenalClearance_M_mLminkg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Renal Plasma Clearance (mL/min/kg)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RenalClearance_R_mLminkg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Renal Plasma Clearance (mL/min/kg)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mL/min/kg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Vss_D_Lkg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 Plasma Vss [L/kg]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Vss_H_Lkg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 Plasma Vss [L/kg]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Vss_M_Lkg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 Plasma Vss [L/kg]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Vss_R_Lkg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Plasma Vss [L/kg]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in vivo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L/kg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MaxPropIter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 Default Value Generations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Prediction details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F_LAI_fast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 LAI Fast (0 - 1)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Fast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F_LAI_slow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 LAI Slow (0 - 1)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Slow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F_oral_pre1stpass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 Oral Before First Pass (0 - 1)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TheDosingIntervalIN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Dosing Interval [h]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TotalDosesIN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Number of Doses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ka_LAI_fast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fast absorption rate [1/h]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Fast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ka_LAI_slow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slow absorption rate [1/h]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LAI Slow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ka_oral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 absorption rate [1/h]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Simulation parameters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1/h</w:t>
            </w:r>
          </w:p>
        </w:tc>
      </w:tr>
    </w:tbl>
    <w:bookmarkEnd w:id="144"/>
    <w:bookmarkStart w:id="147" w:name="prediction-of-fraction-unbound"/>
    <w:p>
      <w:pPr>
        <w:pStyle w:val="Heading2"/>
      </w:pPr>
      <w:r>
        <w:rPr>
          <w:rStyle w:val="SectionNumber"/>
        </w:rPr>
        <w:t xml:space="preserve">5.2</w:t>
      </w:r>
      <w:r>
        <w:tab/>
      </w:r>
      <w:r>
        <w:t xml:space="preserve">Prediction of Fraction Unbound</w:t>
      </w:r>
    </w:p>
    <w:p>
      <w:pPr>
        <w:pStyle w:val="FirstParagraph"/>
      </w:pPr>
      <w:r>
        <w:t xml:space="preserve">The fraction unbound (f</w:t>
      </w:r>
      <w:r>
        <w:rPr>
          <w:vertAlign w:val="subscript"/>
        </w:rPr>
        <w:t xml:space="preserve">u</w:t>
      </w:r>
      <w:r>
        <w:t xml:space="preserve">) - the proportion of drug that is not bound to</w:t>
      </w:r>
      <w:r>
        <w:t xml:space="preserve"> </w:t>
      </w:r>
      <w:r>
        <w:t xml:space="preserve">proteins or cells in a given medium - is a key input to several MMVSola</w:t>
      </w:r>
      <w:r>
        <w:t xml:space="preserve"> </w:t>
      </w:r>
      <w:r>
        <w:t xml:space="preserve">predictions: it converts total to free (unbound) concentrations for the</w:t>
      </w:r>
      <w:r>
        <w:t xml:space="preserve"> </w:t>
      </w:r>
      <w:r>
        <w:t xml:space="preserve">clearance prediction (Section</w:t>
      </w:r>
      <w:r>
        <w:t xml:space="preserve"> </w:t>
      </w:r>
      <w:r>
        <w:t xml:space="preserve">2.2.3</w:t>
      </w:r>
      <w:r>
        <w:t xml:space="preserve">) and for the PD parameters</w:t>
      </w:r>
      <w:r>
        <w:t xml:space="preserve"> </w:t>
      </w:r>
      <w:r>
        <w:t xml:space="preserve">derived from in vitro and SCID data (Section</w:t>
      </w:r>
      <w:r>
        <w:t xml:space="preserve"> </w:t>
      </w:r>
      <w:r>
        <w:t xml:space="preserve">2.3</w:t>
      </w:r>
      <w:r>
        <w:t xml:space="preserve">).</w:t>
      </w:r>
      <w:r>
        <w:t xml:space="preserve"> </w:t>
      </w:r>
      <w:r>
        <w:t xml:space="preserve">MMVSola needs f</w:t>
      </w:r>
      <w:r>
        <w:rPr>
          <w:vertAlign w:val="subscript"/>
        </w:rPr>
        <w:t xml:space="preserve">u</w:t>
      </w:r>
      <w:r>
        <w:t xml:space="preserve"> </w:t>
      </w:r>
      <w:r>
        <w:t xml:space="preserve">in plasma (human, rat, mouse, dog), in the Albumax-</w:t>
      </w:r>
      <w:r>
        <w:t xml:space="preserve"> </w:t>
      </w:r>
      <w:r>
        <w:t xml:space="preserve">containing assay medium, and in the hepatocyte and microsome assays (per</w:t>
      </w:r>
      <w:r>
        <w:t xml:space="preserve"> </w:t>
      </w:r>
      <w:r>
        <w:t xml:space="preserve">species) - eight to ten values in total. Measuring all of them is rarely</w:t>
      </w:r>
      <w:r>
        <w:t xml:space="preserve"> </w:t>
      </w:r>
      <w:r>
        <w:t xml:space="preserve">practical, so whenever one is missing, MMVSola tries to</w:t>
      </w:r>
      <w:r>
        <w:t xml:space="preserve"> </w:t>
      </w:r>
      <w:r>
        <w:rPr>
          <w:iCs/>
          <w:i/>
        </w:rPr>
        <w:t xml:space="preserve">predict</w:t>
      </w:r>
      <w:r>
        <w:t xml:space="preserve"> </w:t>
      </w:r>
      <w:r>
        <w:t xml:space="preserve">it as a</w:t>
      </w:r>
      <w:r>
        <w:t xml:space="preserve"> </w:t>
      </w:r>
      <w:r>
        <w:t xml:space="preserve">default value (shown on an azure background, see Step 8 of Section</w:t>
      </w:r>
      <w:r>
        <w:t xml:space="preserve"> </w:t>
      </w:r>
      <w:r>
        <w:t xml:space="preserve">1</w:t>
      </w:r>
      <w:r>
        <w:t xml:space="preserve">) from whichever of the following inputs are available: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Plasma protein binding</w:t>
      </w:r>
      <w:r>
        <w:t xml:space="preserve"> </w:t>
      </w:r>
      <w:r>
        <w:t xml:space="preserve">(</w:t>
      </w:r>
      <w:r>
        <w:rPr>
          <w:rStyle w:val="VerbatimChar"/>
        </w:rPr>
        <w:t xml:space="preserve">PPB [%]</w:t>
      </w:r>
      <w:r>
        <w:t xml:space="preserve">) for human, rat, mouse, and dog -</w:t>
      </w:r>
      <w:r>
        <w:t xml:space="preserve"> </w:t>
      </w:r>
      <w:r>
        <w:t xml:space="preserve">converted to f</w:t>
      </w:r>
      <w:r>
        <w:rPr>
          <w:vertAlign w:val="subscript"/>
        </w:rPr>
        <w:t xml:space="preserve">u,PLASMA</w:t>
      </w:r>
      <w:r>
        <w:t xml:space="preserve">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Albumax binding</w:t>
      </w:r>
      <w:r>
        <w:t xml:space="preserve"> </w:t>
      </w:r>
      <w:r>
        <w:t xml:space="preserve">(</w:t>
      </w:r>
      <w:r>
        <w:rPr>
          <w:rStyle w:val="VerbatimChar"/>
        </w:rPr>
        <w:t xml:space="preserve">Albumax PB [%]</w:t>
      </w:r>
      <w:r>
        <w:t xml:space="preserve">) - converted to f</w:t>
      </w:r>
      <w:r>
        <w:rPr>
          <w:vertAlign w:val="subscript"/>
        </w:rPr>
        <w:t xml:space="preserve">u,ALBUMAX</w:t>
      </w:r>
      <w:r>
        <w:t xml:space="preserve">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Hepatocyte and microsome unbound fractions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Fu hep</w:t>
      </w:r>
      <w:r>
        <w:t xml:space="preserve">,</w:t>
      </w:r>
      <w:r>
        <w:t xml:space="preserve"> </w:t>
      </w:r>
      <w:r>
        <w:rPr>
          <w:rStyle w:val="VerbatimChar"/>
        </w:rPr>
        <w:t xml:space="preserve">Fu mic</w:t>
      </w:r>
      <w:r>
        <w:t xml:space="preserve">) for</w:t>
      </w:r>
      <w:r>
        <w:t xml:space="preserve"> </w:t>
      </w:r>
      <w:r>
        <w:t xml:space="preserve">human, rat, mouse, and dog, together with the assay conditions used to</w:t>
      </w:r>
      <w:r>
        <w:t xml:space="preserve"> </w:t>
      </w:r>
      <w:r>
        <w:t xml:space="preserve">measure them - cellularity (</w:t>
      </w:r>
      <w:r>
        <w:rPr>
          <w:rStyle w:val="VerbatimChar"/>
        </w:rPr>
        <w:t xml:space="preserve">10^6^ cells/mL</w:t>
      </w:r>
      <w:r>
        <w:t xml:space="preserve">) for hepatocytes and protein</w:t>
      </w:r>
      <w:r>
        <w:t xml:space="preserve"> </w:t>
      </w:r>
      <w:r>
        <w:t xml:space="preserve">concentration (</w:t>
      </w:r>
      <w:r>
        <w:rPr>
          <w:rStyle w:val="VerbatimChar"/>
        </w:rPr>
        <w:t xml:space="preserve">mg protein/mL</w:t>
      </w:r>
      <w:r>
        <w:t xml:space="preserve">) for microsomes.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LogD</w:t>
      </w:r>
      <w:r>
        <w:t xml:space="preserve"> </w:t>
      </w:r>
      <w:r>
        <w:t xml:space="preserve">- experimental (</w:t>
      </w:r>
      <w:r>
        <w:rPr>
          <w:rStyle w:val="VerbatimChar"/>
        </w:rPr>
        <w:t xml:space="preserve">LogD_exp</w:t>
      </w:r>
      <w:r>
        <w:t xml:space="preserve">) or calculated (</w:t>
      </w:r>
      <w:r>
        <w:rPr>
          <w:rStyle w:val="VerbatimChar"/>
        </w:rPr>
        <w:t xml:space="preserve">LogD_calc</w:t>
      </w:r>
      <w:r>
        <w:t xml:space="preserve">) - and the</w:t>
      </w:r>
      <w:r>
        <w:t xml:space="preserve"> </w:t>
      </w:r>
      <w:r>
        <w:t xml:space="preserve">compound’s</w:t>
      </w:r>
      <w:r>
        <w:t xml:space="preserve"> </w:t>
      </w:r>
      <w:r>
        <w:rPr>
          <w:bCs/>
          <w:b/>
        </w:rPr>
        <w:t xml:space="preserve">charge state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ChargeState</w:t>
      </w:r>
      <w:r>
        <w:t xml:space="preserve">: e.g. base or neutral).</w:t>
      </w:r>
    </w:p>
    <w:bookmarkStart w:id="145" w:name="how-the-prediction-works"/>
    <w:p>
      <w:pPr>
        <w:pStyle w:val="Heading3"/>
      </w:pPr>
      <w:r>
        <w:rPr>
          <w:rStyle w:val="SectionNumber"/>
        </w:rPr>
        <w:t xml:space="preserve">5.2.1</w:t>
      </w:r>
      <w:r>
        <w:tab/>
      </w:r>
      <w:r>
        <w:t xml:space="preserve">How the prediction works</w:t>
      </w:r>
    </w:p>
    <w:p>
      <w:pPr>
        <w:pStyle w:val="FirstParagraph"/>
      </w:pPr>
      <w:r>
        <w:t xml:space="preserve">Rather than working with f</w:t>
      </w:r>
      <w:r>
        <w:rPr>
          <w:vertAlign w:val="subscript"/>
        </w:rPr>
        <w:t xml:space="preserve">u</w:t>
      </w:r>
      <w:r>
        <w:t xml:space="preserve"> </w:t>
      </w:r>
      <w:r>
        <w:t xml:space="preserve">directly, the calculation re-expresses every</w:t>
      </w:r>
      <w:r>
        <w:t xml:space="preserve"> </w:t>
      </w:r>
      <w:r>
        <w:t xml:space="preserve">unbound fraction on a logistic</w:t>
      </w:r>
      <w:r>
        <w:t xml:space="preserve"> </w:t>
      </w:r>
      <w:r>
        <w:rPr>
          <w:iCs/>
          <w:i/>
        </w:rPr>
        <w:t xml:space="preserve">logK</w:t>
      </w:r>
      <w:r>
        <w:t xml:space="preserve"> </w:t>
      </w:r>
      <w:r>
        <w:t xml:space="preserve">scale,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t>o</m:t>
          </m:r>
          <m:r>
            <m:t>g</m:t>
          </m:r>
          <m:r>
            <m:t>K</m:t>
          </m:r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10</m:t>
              </m:r>
            </m:sub>
          </m:sSub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f</m:t>
                      </m:r>
                    </m:e>
                    <m:sub>
                      <m:r>
                        <m:t>u</m:t>
                      </m:r>
                    </m:sub>
                  </m:sSub>
                </m:num>
                <m:den>
                  <m:sSub>
                    <m:e>
                      <m:r>
                        <m:t>f</m:t>
                      </m:r>
                    </m:e>
                    <m:sub>
                      <m:r>
                        <m:t>u</m:t>
                      </m:r>
                    </m:sub>
                  </m:sSub>
                </m:den>
              </m:f>
            </m:e>
          </m:d>
          <m:r>
            <m:t>  </m:t>
          </m:r>
          <m:r>
            <m:rPr>
              <m:sty m:val="p"/>
            </m:rPr>
            <m:t>⇔</m:t>
          </m:r>
          <m:r>
            <m:t>  </m:t>
          </m:r>
          <m:sSub>
            <m:e>
              <m:r>
                <m:t>f</m:t>
              </m:r>
            </m:e>
            <m:sub>
              <m:r>
                <m:t>u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10</m:t>
                  </m:r>
                </m:e>
                <m:sup>
                  <m:r>
                    <m:t>l</m:t>
                  </m:r>
                  <m:r>
                    <m:t>o</m:t>
                  </m:r>
                  <m:r>
                    <m:t>g</m:t>
                  </m:r>
                  <m:r>
                    <m:t>K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on which the relationships between binding in different media, species, and</w:t>
      </w:r>
      <w:r>
        <w:t xml:space="preserve"> </w:t>
      </w:r>
      <w:r>
        <w:t xml:space="preserve">assays become approximately linear. A missing f</w:t>
      </w:r>
      <w:r>
        <w:rPr>
          <w:vertAlign w:val="subscript"/>
        </w:rPr>
        <w:t xml:space="preserve">u</w:t>
      </w:r>
      <w:r>
        <w:t xml:space="preserve"> </w:t>
      </w:r>
      <w:r>
        <w:t xml:space="preserve">can then be predicted</w:t>
      </w:r>
      <w:r>
        <w:t xml:space="preserve"> </w:t>
      </w:r>
      <w:r>
        <w:t xml:space="preserve">from an available one via a simple linear (or, for the plasma-Albumax pair,</w:t>
      </w:r>
      <w:r>
        <w:t xml:space="preserve"> </w:t>
      </w:r>
      <w:r>
        <w:t xml:space="preserve">a closely related rational) relationship: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Between media or species</w:t>
      </w:r>
      <w:r>
        <w:t xml:space="preserve"> </w:t>
      </w:r>
      <w:r>
        <w:t xml:space="preserve">(e.g. predicting human plasma f</w:t>
      </w:r>
      <w:r>
        <w:rPr>
          <w:vertAlign w:val="subscript"/>
        </w:rPr>
        <w:t xml:space="preserve">u</w:t>
      </w:r>
      <w:r>
        <w:t xml:space="preserve"> </w:t>
      </w:r>
      <w:r>
        <w:t xml:space="preserve">from</w:t>
      </w:r>
      <w:r>
        <w:t xml:space="preserve"> </w:t>
      </w:r>
      <w:r>
        <w:t xml:space="preserve">hepatocyte f</w:t>
      </w:r>
      <w:r>
        <w:rPr>
          <w:vertAlign w:val="subscript"/>
        </w:rPr>
        <w:t xml:space="preserve">u</w:t>
      </w:r>
      <w:r>
        <w:t xml:space="preserve">, or mouse plasma f</w:t>
      </w:r>
      <w:r>
        <w:rPr>
          <w:vertAlign w:val="subscript"/>
        </w:rPr>
        <w:t xml:space="preserve">u</w:t>
      </w:r>
      <w:r>
        <w:t xml:space="preserve"> </w:t>
      </w:r>
      <w:r>
        <w:t xml:space="preserve">from human plasma f</w:t>
      </w:r>
      <w:r>
        <w:rPr>
          <w:vertAlign w:val="subscript"/>
        </w:rPr>
        <w:t xml:space="preserve">u</w:t>
      </w:r>
      <w:r>
        <w:t xml:space="preserve">):</w:t>
      </w:r>
      <w:r>
        <w:t xml:space="preserve"> </w:t>
      </w:r>
      <m:oMath>
        <m:r>
          <m:t>l</m:t>
        </m:r>
        <m:r>
          <m:t>o</m:t>
        </m:r>
        <m:r>
          <m:t>g</m:t>
        </m:r>
        <m:sSub>
          <m:e>
            <m:r>
              <m:t>K</m:t>
            </m:r>
          </m:e>
          <m:sub>
            <m:r>
              <m:t>t</m:t>
            </m:r>
            <m:r>
              <m:t>a</m:t>
            </m:r>
            <m:r>
              <m:t>r</m:t>
            </m:r>
            <m:r>
              <m:t>g</m:t>
            </m:r>
            <m:r>
              <m:t>e</m:t>
            </m:r>
            <m:r>
              <m:t>t</m:t>
            </m:r>
          </m:sub>
        </m:sSub>
        <m:r>
          <m:rPr>
            <m:sty m:val="p"/>
          </m:rPr>
          <m:t>=</m:t>
        </m:r>
        <m:r>
          <m:t>m</m:t>
        </m:r>
        <m:r>
          <m:rPr>
            <m:sty m:val="p"/>
          </m:rPr>
          <m:t>×</m:t>
        </m:r>
        <m:r>
          <m:t>l</m:t>
        </m:r>
        <m:r>
          <m:t>o</m:t>
        </m:r>
        <m:r>
          <m:t>g</m:t>
        </m:r>
        <m:sSub>
          <m:e>
            <m:r>
              <m:t>K</m:t>
            </m:r>
          </m:e>
          <m:sub>
            <m:r>
              <m:t>s</m:t>
            </m:r>
            <m:r>
              <m:t>o</m:t>
            </m:r>
            <m:r>
              <m:t>u</m:t>
            </m:r>
            <m:r>
              <m:t>r</m:t>
            </m:r>
            <m:r>
              <m:t>c</m:t>
            </m:r>
            <m:r>
              <m:t>e</m:t>
            </m:r>
          </m:sub>
        </m:sSub>
        <m:r>
          <m:rPr>
            <m:sty m:val="p"/>
          </m:rPr>
          <m:t>+</m:t>
        </m:r>
        <m:r>
          <m:t>c</m:t>
        </m:r>
      </m:oMath>
      <w:r>
        <w:t xml:space="preserve">, where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coefficients fitted to a reference compound set for that specific</w:t>
      </w:r>
      <w:r>
        <w:t xml:space="preserve"> </w:t>
      </w:r>
      <w:r>
        <w:t xml:space="preserve">source/target pair.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Between plasma and Albumax binding</w:t>
      </w:r>
      <w:r>
        <w:t xml:space="preserve"> </w:t>
      </w:r>
      <w:r>
        <w:t xml:space="preserve">specifically: a direct</w:t>
      </w:r>
      <w:r>
        <w:t xml:space="preserve"> </w:t>
      </w:r>
      <m:oMath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t</m:t>
            </m:r>
            <m:r>
              <m:t>a</m:t>
            </m:r>
            <m:r>
              <m:t>r</m:t>
            </m:r>
            <m:r>
              <m:t>g</m:t>
            </m:r>
            <m:r>
              <m:t>e</m:t>
            </m:r>
            <m:r>
              <m:t>t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u</m:t>
            </m:r>
            <m:r>
              <m:rPr>
                <m:sty m:val="p"/>
              </m:rPr>
              <m:t>,</m:t>
            </m:r>
            <m:r>
              <m:t>s</m:t>
            </m:r>
            <m:r>
              <m:t>o</m:t>
            </m:r>
            <m:r>
              <m:t>u</m:t>
            </m:r>
            <m:r>
              <m:t>r</m:t>
            </m:r>
            <m:r>
              <m:t>c</m:t>
            </m:r>
            <m:r>
              <m:t>e</m:t>
            </m:r>
          </m:sub>
        </m:sSub>
        <m:r>
          <m:rPr>
            <m:sty m:val="p"/>
          </m:rPr>
          <m:t>/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  <m:r>
              <m:rPr>
                <m:sty m:val="p"/>
              </m:rPr>
              <m:t>×</m:t>
            </m:r>
            <m:sSub>
              <m:e>
                <m:r>
                  <m:t>f</m:t>
                </m:r>
              </m:e>
              <m:sub>
                <m:r>
                  <m:t>u</m:t>
                </m:r>
                <m:r>
                  <m:rPr>
                    <m:sty m:val="p"/>
                  </m:rPr>
                  <m:t>,</m:t>
                </m:r>
                <m:r>
                  <m:t>s</m:t>
                </m:r>
                <m:r>
                  <m:t>o</m:t>
                </m:r>
                <m:r>
                  <m:t>u</m:t>
                </m:r>
                <m:r>
                  <m:t>r</m:t>
                </m:r>
                <m:r>
                  <m:t>c</m:t>
                </m:r>
                <m:r>
                  <m:t>e</m:t>
                </m:r>
              </m:sub>
            </m:sSub>
          </m:e>
        </m:d>
      </m:oMath>
      <w:r>
        <w:t xml:space="preserve"> </w:t>
      </w:r>
      <w:r>
        <w:t xml:space="preserve">relationship</w:t>
      </w:r>
      <w:r>
        <w:t xml:space="preserve"> </w:t>
      </w:r>
      <w:r>
        <w:t xml:space="preserve">(and its algebraic inverse), reflecting the characteristic non-linear</w:t>
      </w:r>
      <w:r>
        <w:t xml:space="preserve"> </w:t>
      </w:r>
      <w:r>
        <w:t xml:space="preserve">link between these two media.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From LogD</w:t>
      </w:r>
      <w:r>
        <w:t xml:space="preserve"> </w:t>
      </w:r>
      <w:r>
        <w:t xml:space="preserve">(when no measured binding values are available at all):</w:t>
      </w:r>
      <w:r>
        <w:t xml:space="preserve"> </w:t>
      </w:r>
      <m:oMath>
        <m:r>
          <m:t>l</m:t>
        </m:r>
        <m:r>
          <m:t>o</m:t>
        </m:r>
        <m:r>
          <m:t>g</m:t>
        </m:r>
        <m:r>
          <m:t>K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×</m:t>
        </m:r>
        <m:r>
          <m:t>L</m:t>
        </m:r>
        <m:r>
          <m:t>o</m:t>
        </m:r>
        <m:r>
          <m:t>g</m:t>
        </m:r>
        <m:r>
          <m:t>D</m:t>
        </m:r>
        <m:r>
          <m:rPr>
            <m:sty m:val="p"/>
          </m:rPr>
          <m:t>+</m:t>
        </m:r>
        <m:r>
          <m:t>c</m:t>
        </m:r>
      </m:oMath>
      <w:r>
        <w:t xml:space="preserve">, using coefficients that depend on the</w:t>
      </w:r>
      <w:r>
        <w:t xml:space="preserve"> </w:t>
      </w:r>
      <w:r>
        <w:t xml:space="preserve">compound’s charge state - ionizable (base/acid) compounds and neutral</w:t>
      </w:r>
      <w:r>
        <w:t xml:space="preserve"> </w:t>
      </w:r>
      <w:r>
        <w:t xml:space="preserve">compounds follow different LogD-binding relationships.</w:t>
      </w:r>
    </w:p>
    <w:p>
      <w:pPr>
        <w:pStyle w:val="FirstParagraph"/>
      </w:pPr>
      <w:r>
        <w:t xml:space="preserve">For the assay-based targets (hepatocyte and microsome f</w:t>
      </w:r>
      <w:r>
        <w:rPr>
          <w:vertAlign w:val="subscript"/>
        </w:rPr>
        <w:t xml:space="preserve">u</w:t>
      </w:r>
      <w:r>
        <w:t xml:space="preserve">), the resulting</w:t>
      </w:r>
      <w:r>
        <w:t xml:space="preserve"> </w:t>
      </w:r>
      <w:r>
        <w:rPr>
          <w:iCs/>
          <w:i/>
        </w:rPr>
        <w:t xml:space="preserve">logK</w:t>
      </w:r>
      <w:r>
        <w:t xml:space="preserve"> </w:t>
      </w:r>
      <w:r>
        <w:t xml:space="preserve">is additionally adjusted for the cellularity or protein concentration</w:t>
      </w:r>
      <w:r>
        <w:t xml:space="preserve"> </w:t>
      </w:r>
      <w:r>
        <w:t xml:space="preserve">of the assay actually used, relative to the reference condition the model</w:t>
      </w:r>
      <w:r>
        <w:t xml:space="preserve"> </w:t>
      </w:r>
      <w:r>
        <w:t xml:space="preserve">coefficients were calibrated at, before being converted back to f</w:t>
      </w:r>
      <w:r>
        <w:rPr>
          <w:vertAlign w:val="subscript"/>
        </w:rPr>
        <w:t xml:space="preserve">u</w:t>
      </w:r>
      <w:r>
        <w:t xml:space="preserve">.</w:t>
      </w:r>
    </w:p>
    <w:p>
      <w:pPr>
        <w:pStyle w:val="BodyText"/>
      </w:pPr>
      <w:r>
        <w:t xml:space="preserve">The regression coefficients (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) for each source/target pair, the</w:t>
      </w:r>
      <w:r>
        <w:t xml:space="preserve"> </w:t>
      </w:r>
      <w:r>
        <w:t xml:space="preserve">rational-function parameters (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) where applicable, and the formula</w:t>
      </w:r>
      <w:r>
        <w:t xml:space="preserve"> </w:t>
      </w:r>
      <w:r>
        <w:t xml:space="preserve">used for each rule are listed in the table below. Rows where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</w:t>
      </w:r>
      <w:r>
        <w:t xml:space="preserve"> </w:t>
      </w:r>
      <w:r>
        <w:t xml:space="preserve">- use the rational function or cross-species mean described above rather than</w:t>
      </w:r>
      <w:r>
        <w:t xml:space="preserve"> </w:t>
      </w:r>
      <w:r>
        <w:t xml:space="preserve">a linear logK regression. Abbreviations used in the table:</w:t>
      </w:r>
      <w:r>
        <w:t xml:space="preserve"> </w:t>
      </w:r>
      <w:r>
        <w:rPr>
          <w:bCs/>
          <w:b/>
        </w:rPr>
        <w:t xml:space="preserve">ALBUMAX</w:t>
      </w:r>
      <w:r>
        <w:t xml:space="preserve"> </w:t>
      </w:r>
      <w:r>
        <w:t xml:space="preserve">= Albumax assay medium unbound fraction (f</w:t>
      </w:r>
      <w:r>
        <w:rPr>
          <w:vertAlign w:val="subscript"/>
        </w:rPr>
        <w:t xml:space="preserve">u,ALBUMAX</w:t>
      </w:r>
      <w:r>
        <w:t xml:space="preserve">);</w:t>
      </w:r>
      <w:r>
        <w:t xml:space="preserve"> </w:t>
      </w:r>
      <w:r>
        <w:rPr>
          <w:bCs/>
          <w:b/>
        </w:rPr>
        <w:t xml:space="preserve">HPPB</w:t>
      </w:r>
      <w:r>
        <w:t xml:space="preserve"> </w:t>
      </w:r>
      <w:r>
        <w:t xml:space="preserve">= Human Plasma Protein Binding expressed as unbound fraction</w:t>
      </w:r>
      <w:r>
        <w:t xml:space="preserve"> </w:t>
      </w:r>
      <w:r>
        <w:t xml:space="preserve">(f</w:t>
      </w:r>
      <w:r>
        <w:rPr>
          <w:vertAlign w:val="subscript"/>
        </w:rPr>
        <w:t xml:space="preserve">u,PLASMA</w:t>
      </w:r>
      <w:r>
        <w:t xml:space="preserve">);</w:t>
      </w:r>
      <w:r>
        <w:t xml:space="preserve"> </w:t>
      </w:r>
      <w:r>
        <w:rPr>
          <w:bCs/>
          <w:b/>
        </w:rPr>
        <w:t xml:space="preserve">HEP</w:t>
      </w:r>
      <w:r>
        <w:t xml:space="preserve"> </w:t>
      </w:r>
      <w:r>
        <w:t xml:space="preserve">= hepatocyte assay unbound fraction (f</w:t>
      </w:r>
      <w:r>
        <w:rPr>
          <w:vertAlign w:val="subscript"/>
        </w:rPr>
        <w:t xml:space="preserve">u,HEP</w:t>
      </w:r>
      <w:r>
        <w:t xml:space="preserve">);</w:t>
      </w:r>
      <w:r>
        <w:t xml:space="preserve"> </w:t>
      </w:r>
      <w:r>
        <w:rPr>
          <w:bCs/>
          <w:b/>
        </w:rPr>
        <w:t xml:space="preserve">MIC</w:t>
      </w:r>
      <w:r>
        <w:t xml:space="preserve"> </w:t>
      </w:r>
      <w:r>
        <w:t xml:space="preserve">= microsome assay unbound fraction (f</w:t>
      </w:r>
      <w:r>
        <w:rPr>
          <w:vertAlign w:val="subscript"/>
        </w:rPr>
        <w:t xml:space="preserve">u,MIC</w:t>
      </w:r>
      <w:r>
        <w:t xml:space="preserve">);</w:t>
      </w:r>
      <w:r>
        <w:t xml:space="preserve"> </w:t>
      </w:r>
      <w:r>
        <w:rPr>
          <w:bCs/>
          <w:b/>
        </w:rPr>
        <w:t xml:space="preserve">ELOGD</w:t>
      </w:r>
      <w:r>
        <w:t xml:space="preserve"> </w:t>
      </w:r>
      <w:r>
        <w:t xml:space="preserve">= experimentally measured LogD;</w:t>
      </w:r>
      <w:r>
        <w:t xml:space="preserve"> </w:t>
      </w:r>
      <w:r>
        <w:rPr>
          <w:bCs/>
          <w:b/>
        </w:rPr>
        <w:t xml:space="preserve">CLOGD</w:t>
      </w:r>
      <w:r>
        <w:t xml:space="preserve"> </w:t>
      </w:r>
      <w:r>
        <w:t xml:space="preserve">= calculated (predicted)</w:t>
      </w:r>
      <w:r>
        <w:t xml:space="preserve"> </w:t>
      </w:r>
      <w:r>
        <w:t xml:space="preserve">LogD;</w:t>
      </w:r>
      <w:r>
        <w:t xml:space="preserve"> </w:t>
      </w:r>
      <w:r>
        <w:rPr>
          <w:bCs/>
          <w:b/>
        </w:rPr>
        <w:t xml:space="preserve">MEAN_LOGK</w:t>
      </w:r>
      <w:r>
        <w:t xml:space="preserve"> </w:t>
      </w:r>
      <w:r>
        <w:t xml:space="preserve">= geometric mean of the logK values from the same</w:t>
      </w:r>
      <w:r>
        <w:t xml:space="preserve"> </w:t>
      </w:r>
      <w:r>
        <w:t xml:space="preserve">assay/medium in other available species.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"/>
        <w:gridCol w:w="396"/>
        <w:gridCol w:w="693"/>
        <w:gridCol w:w="247"/>
        <w:gridCol w:w="297"/>
        <w:gridCol w:w="148"/>
        <w:gridCol w:w="148"/>
        <w:gridCol w:w="5593"/>
      </w:tblGrid>
      <w:tr>
        <w:trPr>
          <w:tblHeader w:val="true"/>
        </w:trPr>
        <w:tc>
          <w:tcPr/>
          <w:p>
            <w:pPr>
              <w:pStyle w:val="Compact"/>
              <w:jc w:val="right"/>
            </w:pPr>
            <w:r>
              <w:t xml:space="preserve">RULE_ID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Predict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m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Formula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fu_ALBUMAX = a</w:t>
            </w:r>
            <w:r>
              <w:rPr>
                <w:iCs/>
                <w:i/>
              </w:rPr>
              <w:t xml:space="preserve">fu_PLASMA_H/(1+b</w:t>
            </w:r>
            <w:r>
              <w:t xml:space="preserve">fu_PLASMA_H)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fu_ALBUMAX = 1/(1+10^(m*LogPD_exp+c))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-1.73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fu_ALBUMAX = 1/(1+10^(m*LogPD_exp+c))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-1.03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fu_ALBUMAX = 1/(1+10^(m*LogPD_calc+c))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-1.95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fu_ALBUMAX = 1/(1+10^(m*LogPD_calc+c))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MEAN_LOGK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fu_PLASMA_X = 1/(1+10^(mean(log10((1-fu_PLASMA_Y)/fu_PLASMA_Y)))), where X = {H, R, M, D}, Y = {H, R, M, D} - X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fu_PLASMA_X = fu_ALBUMAX/(a - b*fu_ALBUMAX),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-0.24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fu_PLASMA_X = 1/(1+10^(m*LogPD_exp+c)),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-0.79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fu_PLASMA_X = 1/(1+10^(m*LogPD_exp+c)),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-0.26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fu_PLASMA_X = 1/(1+10^(m*LogPD_calc+c)),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fu_PLASMA_X = 1/(1+10^(m*LogPD_calc+c)),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MEAN_LOGK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1/(1+10^(mean(log10((1-fu_HEP_Y)/fu_HEP_Y)))), where X = {H, R, M, D}, Y = {H, R, M, D} - X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-0.16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1/(1+10^(m*log10((1-fu_MIC_X)/fu_MIC_X)+c)), where X = 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0.98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0.12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1/(1+10^(m*log10((1-fu_ALBUMAX)/fu_ALBUMAX)+c)),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-0.58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1/(1+10^(m*log10((1-fu_PLASMA_H)/fu_PLASMA_H)+c)),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-0.76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1/(1+10^(m*LogPD_exp+c)),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-1.77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1/(1+10^(m*LogPD_exp+c)),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1/(1+10^(m*LogPD_calc+c)),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-1.71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fu_HEP_X = 1/(1+10^(m*LogPD_calc+c)),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MEAN_LOGK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1/(1+10^(mean(log10((1-fu_MIC_Y)/fu_MIC_Y)))), where X = {H, R, M, D}, Y = {H, R, M, D} - X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0.29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1/(1+10^(m*log10((1-fu_HEP_X)/fu_HEP_X)+c)), where X = 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ALBUMAX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0.86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0.44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1/(1+10^(m*log10((1-fu_ALBUMAX)/fu_ALBUMAX)+c)),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-0.20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1/(1+10^(m*log10((1-fu_PLASMA_H)/fu_PLASMA_H)+c)), where X = 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HPPB_NEUTRAL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0.75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-0.88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1/(1+10^(m*log10((1-fu_PLASMA_H)/fu_PLASMA_H)+c)), where X = 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1/(1+10^(m*LogPD_exp+c)),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0.61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-1.99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1/(1+10^(m*LogPD_exp+c)),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CLOGD_BASE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0.30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1/(1+10^(m*LogPD_calc+c)), where X={H, R, M, D}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CLOGD_NEUTRAL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-1.70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fu_MIC_X = 1/(1+10^(m*LogPD_calc+c)), where X={H, R, M, D}</w:t>
            </w:r>
          </w:p>
        </w:tc>
      </w:tr>
    </w:tbl>
    <w:p>
      <w:pPr>
        <w:pStyle w:val="BodyText"/>
      </w:pPr>
      <w:r>
        <w:rPr>
          <w:bCs/>
          <w:b/>
        </w:rPr>
        <w:t xml:space="preserve">Assay-density normalisation for HEP and MIC.</w:t>
      </w:r>
      <w:r>
        <w:t xml:space="preserve"> </w:t>
      </w:r>
      <w:r>
        <w:t xml:space="preserve">The regression coefficients</w:t>
      </w:r>
      <w:r>
        <w:t xml:space="preserve"> </w:t>
      </w:r>
      <w:r>
        <w:t xml:space="preserve">in the table were calibrated at standard reference conditions:</w:t>
      </w:r>
      <w:r>
        <w:t xml:space="preserve"> </w:t>
      </w:r>
      <w:r>
        <w:rPr>
          <w:bCs/>
          <w:b/>
        </w:rPr>
        <w:t xml:space="preserve">1×10</w:t>
      </w:r>
      <w:r>
        <w:rPr>
          <w:vertAlign w:val="superscript"/>
          <w:bCs/>
          <w:b/>
        </w:rPr>
        <w:t xml:space="preserve">6</w:t>
      </w:r>
      <w:r>
        <w:rPr>
          <w:bCs/>
          <w:b/>
        </w:rPr>
        <w:t xml:space="preserve"> </w:t>
      </w:r>
      <w:r>
        <w:rPr>
          <w:bCs/>
          <w:b/>
        </w:rPr>
        <w:t xml:space="preserve">cells/mL</w:t>
      </w:r>
      <w:r>
        <w:t xml:space="preserve"> </w:t>
      </w:r>
      <w:r>
        <w:t xml:space="preserve">for hepatocytes and</w:t>
      </w:r>
      <w:r>
        <w:t xml:space="preserve"> </w:t>
      </w:r>
      <w:r>
        <w:rPr>
          <w:bCs/>
          <w:b/>
        </w:rPr>
        <w:t xml:space="preserve">0.5 mg protein/mL</w:t>
      </w:r>
      <w:r>
        <w:t xml:space="preserve"> </w:t>
      </w:r>
      <w:r>
        <w:t xml:space="preserve">for microsomes. When a</w:t>
      </w:r>
      <w:r>
        <w:t xml:space="preserve"> </w:t>
      </w:r>
      <w:r>
        <w:t xml:space="preserve">measured f</w:t>
      </w:r>
      <w:r>
        <w:rPr>
          <w:vertAlign w:val="subscript"/>
        </w:rPr>
        <w:t xml:space="preserve">u,HEP</w:t>
      </w:r>
      <w:r>
        <w:t xml:space="preserve"> </w:t>
      </w:r>
      <w:r>
        <w:t xml:space="preserve">or f</w:t>
      </w:r>
      <w:r>
        <w:rPr>
          <w:vertAlign w:val="subscript"/>
        </w:rPr>
        <w:t xml:space="preserve">u,MIC</w:t>
      </w:r>
      <w:r>
        <w:t xml:space="preserve"> </w:t>
      </w:r>
      <w:r>
        <w:t xml:space="preserve">was obtained at a different cellularity or</w:t>
      </w:r>
      <w:r>
        <w:t xml:space="preserve"> </w:t>
      </w:r>
      <w:r>
        <w:t xml:space="preserve">protein concentration, the logK of the measured value is first adjusted to</w:t>
      </w:r>
      <w:r>
        <w:t xml:space="preserve"> </w:t>
      </w:r>
      <w:r>
        <w:t xml:space="preserve">the calibration condition before the regression is applied, and the predicted</w:t>
      </w:r>
      <w:r>
        <w:t xml:space="preserve"> </w:t>
      </w:r>
      <w:r>
        <w:t xml:space="preserve">logK is then adjusted back to the actual assay condition of the target</w:t>
      </w:r>
      <w:r>
        <w:t xml:space="preserve"> </w:t>
      </w:r>
      <w:r>
        <w:t xml:space="preserve">species, using:</w:t>
      </w:r>
    </w:p>
    <w:p>
      <w:pPr>
        <w:pStyle w:val="BodyText"/>
      </w:pPr>
      <m:oMathPara>
        <m:oMathParaPr>
          <m:jc m:val="center"/>
        </m:oMathParaPr>
        <m:oMath>
          <m:r>
            <m:t>l</m:t>
          </m:r>
          <m:r>
            <m:t>o</m:t>
          </m:r>
          <m:r>
            <m:t>g</m:t>
          </m:r>
          <m:sSub>
            <m:e>
              <m:r>
                <m:t>K</m:t>
              </m:r>
            </m:e>
            <m:sub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</m:sub>
          </m:sSub>
          <m:r>
            <m:rPr>
              <m:sty m:val="p"/>
            </m:rPr>
            <m:t>=</m:t>
          </m:r>
          <m:r>
            <m:t>l</m:t>
          </m:r>
          <m:r>
            <m:t>o</m:t>
          </m:r>
          <m:r>
            <m:t>g</m:t>
          </m:r>
          <m:sSub>
            <m:e>
              <m:r>
                <m:t>K</m:t>
              </m:r>
            </m:e>
            <m:sub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</m:sub>
          </m:sSub>
          <m:r>
            <m:rPr>
              <m:sty m:val="p"/>
            </m:rPr>
            <m:t>+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10</m:t>
              </m:r>
            </m:sub>
          </m:sSub>
          <m:r>
            <m:t>​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sSub>
                    <m:e>
                      <m:r>
                        <m:t>c</m:t>
                      </m:r>
                    </m:e>
                    <m:sub>
                      <m:r>
                        <m:t>2</m:t>
                      </m:r>
                    </m:sub>
                  </m:sSub>
                </m:num>
                <m:den>
                  <m:sSub>
                    <m:e>
                      <m:r>
                        <m:t>c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</m:e>
          </m:d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c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the two cellularities or protein concentrations.</w:t>
      </w:r>
      <w:r>
        <w:t xml:space="preserve"> </w:t>
      </w:r>
      <w:r>
        <w:t xml:space="preserve">The user-entered assay conditions (cellularity for hepatocytes in</w:t>
      </w:r>
      <w:r>
        <w:t xml:space="preserve"> </w:t>
      </w:r>
      <w:r>
        <w:t xml:space="preserve">10</w:t>
      </w:r>
      <w:r>
        <w:rPr>
          <w:vertAlign w:val="superscript"/>
        </w:rPr>
        <w:t xml:space="preserve">6</w:t>
      </w:r>
      <w:r>
        <w:t xml:space="preserve"> </w:t>
      </w:r>
      <w:r>
        <w:t xml:space="preserve">cells/mL; protein concentration for microsomes in mg protein/mL) are</w:t>
      </w:r>
      <w:r>
        <w:t xml:space="preserve"> </w:t>
      </w:r>
      <w:r>
        <w:t xml:space="preserve">the values that appear in the</w:t>
      </w:r>
      <w:r>
        <w:t xml:space="preserve"> </w:t>
      </w:r>
      <w:r>
        <w:rPr>
          <w:bCs/>
          <w:b/>
        </w:rPr>
        <w:t xml:space="preserve">PK in heps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PK in mics</w:t>
      </w:r>
      <w:r>
        <w:t xml:space="preserve"> </w:t>
      </w:r>
      <w:r>
        <w:t xml:space="preserve">input groups.</w:t>
      </w:r>
    </w:p>
    <w:bookmarkEnd w:id="145"/>
    <w:bookmarkStart w:id="146" w:name="chained-generational-prediction"/>
    <w:p>
      <w:pPr>
        <w:pStyle w:val="Heading3"/>
      </w:pPr>
      <w:r>
        <w:rPr>
          <w:rStyle w:val="SectionNumber"/>
        </w:rPr>
        <w:t xml:space="preserve">5.2.2</w:t>
      </w:r>
      <w:r>
        <w:tab/>
      </w:r>
      <w:r>
        <w:t xml:space="preserve">Chained (</w:t>
      </w:r>
      <w:r>
        <w:t xml:space="preserve">“</w:t>
      </w:r>
      <w:r>
        <w:t xml:space="preserve">generational</w:t>
      </w:r>
      <w:r>
        <w:t xml:space="preserve">”</w:t>
      </w:r>
      <w:r>
        <w:t xml:space="preserve">) prediction</w:t>
      </w:r>
    </w:p>
    <w:p>
      <w:pPr>
        <w:pStyle w:val="FirstParagraph"/>
      </w:pPr>
      <w:r>
        <w:t xml:space="preserve">A value predicted in one of these ways can itself serve as the source for</w:t>
      </w:r>
      <w:r>
        <w:t xml:space="preserve"> </w:t>
      </w:r>
      <w:r>
        <w:t xml:space="preserve">predicting another - for example, plasma binding predicted from Albumax</w:t>
      </w:r>
      <w:r>
        <w:t xml:space="preserve"> </w:t>
      </w:r>
      <w:r>
        <w:t xml:space="preserve">binding can subsequently be used to predict hepatocyte or microsome binding.</w:t>
      </w:r>
      <w:r>
        <w:t xml:space="preserve"> </w:t>
      </w:r>
      <w:r>
        <w:t xml:space="preserve">MMVSola repeats this propagation until no further values can be derived, or</w:t>
      </w:r>
      <w:r>
        <w:t xml:space="preserve"> </w:t>
      </w:r>
      <w:r>
        <w:t xml:space="preserve">until the</w:t>
      </w:r>
      <w:r>
        <w:t xml:space="preserve"> </w:t>
      </w:r>
      <w:r>
        <w:rPr>
          <w:bCs/>
          <w:b/>
        </w:rPr>
        <w:t xml:space="preserve">Max Default Value Generations</w:t>
      </w:r>
      <w:r>
        <w:t xml:space="preserve"> </w:t>
      </w:r>
      <w:r>
        <w:t xml:space="preserve">limit (Step 7 of Section</w:t>
      </w:r>
      <w:r>
        <w:t xml:space="preserve"> </w:t>
      </w:r>
      <w:r>
        <w:t xml:space="preserve">1</w:t>
      </w:r>
      <w:r>
        <w:t xml:space="preserve">) is reached. This is the same mechanism - and the same</w:t>
      </w:r>
      <w:r>
        <w:t xml:space="preserve"> </w:t>
      </w:r>
      <w:r>
        <w:rPr>
          <w:bCs/>
          <w:b/>
        </w:rPr>
        <w:t xml:space="preserve">Prediction Graph</w:t>
      </w:r>
      <w:r>
        <w:t xml:space="preserve"> </w:t>
      </w:r>
      <w:r>
        <w:t xml:space="preserve">/</w:t>
      </w:r>
      <w:r>
        <w:t xml:space="preserve"> </w:t>
      </w:r>
      <w:r>
        <w:rPr>
          <w:bCs/>
          <w:b/>
        </w:rPr>
        <w:t xml:space="preserve">Prediction Table</w:t>
      </w:r>
      <w:r>
        <w:t xml:space="preserve"> </w:t>
      </w:r>
      <w:r>
        <w:t xml:space="preserve">views (Step 8 of Section</w:t>
      </w:r>
      <w:r>
        <w:t xml:space="preserve"> </w:t>
      </w:r>
      <w:r>
        <w:t xml:space="preserve">1</w:t>
      </w:r>
      <w:r>
        <w:t xml:space="preserve">) - used for inspecting any chain of default values in</w:t>
      </w:r>
      <w:r>
        <w:t xml:space="preserve"> </w:t>
      </w:r>
      <w:r>
        <w:t xml:space="preserve">MMVSola: each predicted f</w:t>
      </w:r>
      <w:r>
        <w:rPr>
          <w:vertAlign w:val="subscript"/>
        </w:rPr>
        <w:t xml:space="preserve">u</w:t>
      </w:r>
      <w:r>
        <w:t xml:space="preserve"> </w:t>
      </w:r>
      <w:r>
        <w:t xml:space="preserve">keeps a record of which inputs it was derived</w:t>
      </w:r>
      <w:r>
        <w:t xml:space="preserve"> </w:t>
      </w:r>
      <w:r>
        <w:t xml:space="preserve">from and the exact formula used, so that the dependency graph</w:t>
      </w:r>
      <w:r>
        <w:t xml:space="preserve"> </w:t>
      </w:r>
      <w:r>
        <w:t xml:space="preserve">(</w:t>
      </w:r>
      <w:r>
        <w:rPr>
          <w:rStyle w:val="VerbatimChar"/>
        </w:rPr>
        <w:t xml:space="preserve">fu_ALBUMAX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fu_HEP_*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fu_MIC_*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fu_PLASMA_*</w:t>
      </w:r>
      <w:r>
        <w:t xml:space="preserve">, or</w:t>
      </w:r>
      <w:r>
        <w:t xml:space="preserve"> </w:t>
      </w:r>
      <w:r>
        <w:t xml:space="preserve">similar chains starting from LogD) and the calculation table can be</w:t>
      </w:r>
      <w:r>
        <w:t xml:space="preserve"> </w:t>
      </w:r>
      <w:r>
        <w:t xml:space="preserve">inspected directly from the</w:t>
      </w:r>
      <w:r>
        <w:t xml:space="preserve"> </w:t>
      </w:r>
      <w:r>
        <w:rPr>
          <w:bCs/>
          <w:b/>
        </w:rPr>
        <w:t xml:space="preserve">Prediction details</w:t>
      </w:r>
      <w:r>
        <w:t xml:space="preserve"> </w:t>
      </w:r>
      <w:r>
        <w:t xml:space="preserve">input group.</w:t>
      </w:r>
    </w:p>
    <w:bookmarkEnd w:id="146"/>
    <w:bookmarkEnd w:id="147"/>
    <w:bookmarkEnd w:id="1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color w:val="204a87"/>
      <w:shd w:val="clear" w:fill="f8f8f8"/>
      <w:b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color w:val="ce5c00"/>
      <w:shd w:val="clear" w:fill="f8f8f8"/>
      <w:b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color w:val="8f5902"/>
      <w:shd w:val="clear" w:fill="f8f8f8"/>
      <w:i/>
    </w:rPr>
  </w:style>
  <w:style w:type="character" w:customStyle="1" w:styleId="DocumentationTok">
    <w:name w:val="DocumentationTok"/>
    <w:basedOn w:val="VerbatimChar"/>
    <w:rPr>
      <w:color w:val="8f5902"/>
      <w:shd w:val="clear" w:fill="f8f8f8"/>
      <w:b/>
      <w:i/>
    </w:rPr>
  </w:style>
  <w:style w:type="character" w:customStyle="1" w:styleId="AnnotationTok">
    <w:name w:val="AnnotationTok"/>
    <w:basedOn w:val="VerbatimChar"/>
    <w:rPr>
      <w:color w:val="8f5902"/>
      <w:shd w:val="clear" w:fill="f8f8f8"/>
      <w:b/>
      <w:i/>
    </w:rPr>
  </w:style>
  <w:style w:type="character" w:customStyle="1" w:styleId="CommentVarTok">
    <w:name w:val="CommentVarTok"/>
    <w:basedOn w:val="VerbatimChar"/>
    <w:rPr>
      <w:color w:val="8f5902"/>
      <w:shd w:val="clear" w:fill="f8f8f8"/>
      <w:b/>
      <w:i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color w:val="204a87"/>
      <w:shd w:val="clear" w:fill="f8f8f8"/>
      <w:b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color w:val="204a87"/>
      <w:shd w:val="clear" w:fill="f8f8f8"/>
      <w:b/>
    </w:rPr>
  </w:style>
  <w:style w:type="character" w:customStyle="1" w:styleId="OperatorTok">
    <w:name w:val="OperatorTok"/>
    <w:basedOn w:val="VerbatimChar"/>
    <w:rPr>
      <w:color w:val="ce5c00"/>
      <w:shd w:val="clear" w:fill="f8f8f8"/>
      <w:b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color w:val="8f5902"/>
      <w:shd w:val="clear" w:fill="f8f8f8"/>
      <w:i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color w:val="8f5902"/>
      <w:shd w:val="clear" w:fill="f8f8f8"/>
      <w:b/>
      <w:i/>
    </w:rPr>
  </w:style>
  <w:style w:type="character" w:customStyle="1" w:styleId="WarningTok">
    <w:name w:val="WarningTok"/>
    <w:basedOn w:val="VerbatimChar"/>
    <w:rPr>
      <w:color w:val="8f5902"/>
      <w:shd w:val="clear" w:fill="f8f8f8"/>
      <w:b/>
      <w:i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color w:val="a40000"/>
      <w:shd w:val="clear" w:fill="f8f8f8"/>
      <w:b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57" Target="media/rId57.png" /><Relationship Type="http://schemas.openxmlformats.org/officeDocument/2006/relationships/image" Id="rId60" Target="media/rId60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5" Target="media/rId75.png" /><Relationship Type="http://schemas.openxmlformats.org/officeDocument/2006/relationships/image" Id="rId78" Target="media/rId78.png" /><Relationship Type="http://schemas.openxmlformats.org/officeDocument/2006/relationships/image" Id="rId81" Target="media/rId81.png" /><Relationship Type="http://schemas.openxmlformats.org/officeDocument/2006/relationships/image" Id="rId85" Target="media/rId85.png" /><Relationship Type="http://schemas.openxmlformats.org/officeDocument/2006/relationships/image" Id="rId89" Target="media/rId89.png" /><Relationship Type="http://schemas.openxmlformats.org/officeDocument/2006/relationships/image" Id="rId93" Target="media/rId93.png" /><Relationship Type="http://schemas.openxmlformats.org/officeDocument/2006/relationships/image" Id="rId97" Target="media/rId97.png" /><Relationship Type="http://schemas.openxmlformats.org/officeDocument/2006/relationships/image" Id="rId100" Target="media/rId100.png" /><Relationship Type="http://schemas.openxmlformats.org/officeDocument/2006/relationships/image" Id="rId103" Target="media/rId103.png" /><Relationship Type="http://schemas.openxmlformats.org/officeDocument/2006/relationships/image" Id="rId106" Target="media/rId106.png" /><Relationship Type="http://schemas.openxmlformats.org/officeDocument/2006/relationships/image" Id="rId32" Target="media/rId32.png" /><Relationship Type="http://schemas.openxmlformats.org/officeDocument/2006/relationships/image" Id="rId36" Target="media/rId36.png" /><Relationship Type="http://schemas.openxmlformats.org/officeDocument/2006/relationships/hyperlink" Id="rId20" Target="https://mmvsola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mmvsola.or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MMVSola Predictor - User Guide</dc:title>
  <dc:creator>Venelin Mitov, Ghaith Aljayyoussi, Peter Webborn, Mohammed H. Cherkaoui, Mark Gardner, Sam Jones, Nathalie Gobeau, Jeremy Burrows, Steven Brand</dc:creator>
  <cp:keywords/>
  <dcterms:created xsi:type="dcterms:W3CDTF">2026-10-27T18:11:53Z</dcterms:created>
  <dcterms:modified xsi:type="dcterms:W3CDTF">2026-10-27T18:11:53Z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okdown">
    <vt:lpwstr/>
  </property>
  <property fmtid="{D5CDD505-2E9C-101B-9397-08002B2CF9AE}" pid="3" name="date">
    <vt:lpwstr>Version 1.11.15, October 2026</vt:lpwstr>
  </property>
  <property fmtid="{D5CDD505-2E9C-101B-9397-08002B2CF9AE}" pid="4" name="site">
    <vt:lpwstr>bookdown::bookdown_site</vt:lpwstr>
  </property>
</Properties>
</file>